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6"/>
      </w:pPr>
      <w:r>
        <w:rPr>
          <w:rFonts w:eastAsia="Times New Roman"/>
          <w:spacing w:val="-6"/>
          <w:sz w:val="30"/>
          <w:szCs w:val="30"/>
        </w:rPr>
      </w:r>
      <w:r>
        <w:rPr>
          <w:rFonts w:eastAsia="Calibri"/>
          <w:b/>
          <w:bCs/>
          <w:szCs w:val="28"/>
        </w:rPr>
        <w:t xml:space="preserve">   </w:t>
      </w:r>
      <w:r>
        <mc:AlternateContent>
          <mc:Choice Requires="wpg">
            <w:drawing>
              <wp:inline xmlns:wp="http://schemas.openxmlformats.org/drawingml/2006/wordprocessingDrawing" distT="0" distB="0" distL="0" distR="0">
                <wp:extent cx="1980955" cy="7332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8870" name="Рисунок 1"/>
                        <pic:cNvPicPr>
                          <a:picLocks noChangeAspect="1"/>
                        </pic:cNvPicPr>
                        <pic:nvPr/>
                      </pic:nvPicPr>
                      <pic:blipFill>
                        <a:blip r:embed="rId8">
                          <a:alphaModFix amt="100000"/>
                          <a:lum bright="0" contrast="0"/>
                        </a:blip>
                        <a:stretch/>
                      </pic:blipFill>
                      <pic:spPr bwMode="auto">
                        <a:xfrm>
                          <a:off x="0" y="0"/>
                          <a:ext cx="1980954" cy="733266"/>
                        </a:xfrm>
                        <a:prstGeom prst="rect">
                          <a:avLst/>
                        </a:prstGeom>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5.98pt;height:57.74pt;mso-wrap-distance-left:0.00pt;mso-wrap-distance-top:0.00pt;mso-wrap-distance-right:0.00pt;mso-wrap-distance-bottom:0.00pt;" stroked="false">
                <v:path textboxrect="0,0,0,0"/>
                <v:imagedata r:id="rId8" o:title=""/>
              </v:shape>
            </w:pict>
          </mc:Fallback>
        </mc:AlternateContent>
      </w:r>
      <w:r>
        <w:rPr>
          <w:rFonts w:eastAsia="Calibri"/>
          <w:b/>
          <w:bCs/>
          <w:szCs w:val="28"/>
        </w:rPr>
        <w:t xml:space="preserve">                                                                      </w:t>
      </w:r>
      <w:r/>
    </w:p>
    <w:p>
      <w:pPr>
        <w:pStyle w:val="836"/>
        <w:rPr>
          <w:rFonts w:eastAsia="Calibri"/>
          <w:b/>
          <w:bCs/>
          <w:szCs w:val="28"/>
        </w:rPr>
      </w:pPr>
      <w:r>
        <w:rPr>
          <w:rFonts w:eastAsia="Calibri"/>
          <w:b/>
          <w:bCs/>
          <w:szCs w:val="28"/>
        </w:rPr>
      </w:r>
      <w:r>
        <w:rPr>
          <w:rFonts w:eastAsia="Calibri"/>
          <w:b/>
          <w:bCs/>
          <w:szCs w:val="28"/>
        </w:rPr>
      </w:r>
      <w:r>
        <w:rPr>
          <w:rFonts w:eastAsia="Calibri"/>
          <w:b/>
          <w:bCs/>
          <w:szCs w:val="28"/>
        </w:rPr>
      </w:r>
    </w:p>
    <w:p>
      <w:pPr>
        <w:pStyle w:val="836"/>
        <w:jc w:val="right"/>
        <w:rPr>
          <w:rFonts w:ascii="Times New Roman" w:hAnsi="Times New Roman" w:eastAsia="Times New Roman" w:cs="Times New Roman"/>
          <w:b/>
          <w:bCs/>
          <w:sz w:val="32"/>
          <w:szCs w:val="32"/>
          <w:highlight w:val="none"/>
        </w:rPr>
      </w:pPr>
      <w:r>
        <w:rPr>
          <w:rFonts w:ascii="Times New Roman" w:hAnsi="Times New Roman" w:eastAsia="Times New Roman" w:cs="Times New Roman"/>
          <w:b/>
          <w:bCs/>
          <w:sz w:val="32"/>
          <w:szCs w:val="28"/>
        </w:rPr>
        <w:t xml:space="preserve">ПРЕСС-РЕЛИЗ</w:t>
      </w:r>
      <w:r>
        <w:rPr>
          <w:rFonts w:ascii="Times New Roman" w:hAnsi="Times New Roman" w:eastAsia="Times New Roman" w:cs="Times New Roman"/>
          <w:b/>
          <w:bCs/>
          <w:sz w:val="32"/>
          <w:szCs w:val="32"/>
          <w:highlight w:val="none"/>
        </w:rPr>
      </w:r>
      <w:r>
        <w:rPr>
          <w:rFonts w:ascii="Times New Roman" w:hAnsi="Times New Roman" w:eastAsia="Times New Roman" w:cs="Times New Roman"/>
          <w:b/>
          <w:bCs/>
          <w:sz w:val="32"/>
          <w:szCs w:val="32"/>
          <w:highlight w:val="none"/>
        </w:rPr>
      </w:r>
    </w:p>
    <w:p>
      <w:pPr>
        <w:pStyle w:val="836"/>
        <w:jc w:val="right"/>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31"/>
        <w:jc w:val="center"/>
        <w:rPr>
          <w:rFonts w:ascii="Times New Roman" w:hAnsi="Times New Roman" w:cs="Times New Roman"/>
          <w:sz w:val="28"/>
          <w:szCs w:val="28"/>
        </w:rPr>
      </w:pPr>
      <w:r>
        <w:rPr>
          <w:rFonts w:ascii="Times New Roman" w:hAnsi="Times New Roman" w:cs="Times New Roman"/>
          <w:sz w:val="28"/>
          <w:szCs w:val="28"/>
        </w:rPr>
        <w:t xml:space="preserve">Запрет на передачу прав и обязанностей по аренде земельных участков, полученных на торгах</w:t>
      </w:r>
      <w:r>
        <w:rPr>
          <w:rFonts w:ascii="Times New Roman" w:hAnsi="Times New Roman" w:cs="Times New Roman"/>
          <w:sz w:val="28"/>
          <w:szCs w:val="28"/>
        </w:rPr>
      </w:r>
      <w:r>
        <w:rPr>
          <w:rFonts w:ascii="Times New Roman" w:hAnsi="Times New Roman" w:cs="Times New Roman"/>
          <w:sz w:val="28"/>
          <w:szCs w:val="28"/>
        </w:rPr>
      </w:r>
    </w:p>
    <w:p>
      <w:pPr>
        <w:pStyle w:val="83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 июня 2015 г. вступил в силу Федеральный закон от 8 марта 2015 г. № 42-ФЗ «О внесении изменений в часть первую Гражданского кодекса Российской Федерации» (далее – «</w:t>
      </w:r>
      <w:r>
        <w:rPr>
          <w:rFonts w:ascii="Times New Roman" w:hAnsi="Times New Roman" w:cs="Times New Roman"/>
          <w:b/>
          <w:bCs/>
          <w:sz w:val="28"/>
          <w:szCs w:val="28"/>
        </w:rPr>
        <w:t xml:space="preserve">Закон № 42-ФЗ</w:t>
      </w:r>
      <w:r>
        <w:rPr>
          <w:rFonts w:ascii="Times New Roman" w:hAnsi="Times New Roman" w:cs="Times New Roman"/>
          <w:sz w:val="28"/>
          <w:szCs w:val="28"/>
        </w:rPr>
        <w:t xml:space="preserve">»), который, в том числе, внес изменения в положения ГК РФ, регулирующие организацию и порядок проведения торгов. Были внесены изменения в пункт 7 статьи 448 ГК РФ.</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данным изменением передача прав и обязанностей по договору аренды, заключенному по результатам торгов, не допускается с 01.06.2015года. </w:t>
      </w:r>
      <w:r>
        <w:rPr>
          <w:rFonts w:ascii="Times New Roman" w:hAnsi="Times New Roman" w:cs="Times New Roman"/>
          <w:sz w:val="28"/>
          <w:szCs w:val="28"/>
        </w:rPr>
        <w:t xml:space="preserve">Таким образом, если договор аренды был заключен на основании торгов, то его победитель не имеет права уступить свои права по этому договору.  Обязательства по такому договору должны быть исполнены победителем торгов лично, если иное не установлено законом.</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Если все же произойдет передача прав и обязанностей по договору аренды земельного участка, заключенному на торгах, то такая передача будет считаться недействительной.</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 17 статьи 39.8 Земельного кодекса внесение изменений в заключенный по результатам аукциона или в случае признания аукциона несостоявшимся, </w:t>
      </w:r>
      <w:r>
        <w:rPr>
          <w:rFonts w:ascii="Times New Roman" w:hAnsi="Times New Roman" w:cs="Times New Roman"/>
          <w:b/>
          <w:bCs/>
          <w:sz w:val="28"/>
          <w:szCs w:val="28"/>
        </w:rPr>
        <w:t xml:space="preserve">в части изменения видов разрешенного использования </w:t>
      </w:r>
      <w:r>
        <w:rPr>
          <w:rFonts w:ascii="Times New Roman" w:hAnsi="Times New Roman" w:cs="Times New Roman"/>
          <w:sz w:val="28"/>
          <w:szCs w:val="28"/>
        </w:rPr>
        <w:t xml:space="preserve">такого земельного участка </w:t>
      </w:r>
      <w:r>
        <w:rPr>
          <w:rFonts w:ascii="Times New Roman" w:hAnsi="Times New Roman" w:cs="Times New Roman"/>
          <w:b/>
          <w:bCs/>
          <w:sz w:val="28"/>
          <w:szCs w:val="28"/>
        </w:rPr>
        <w:t xml:space="preserve">не допускается</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Учитывая ст.4 ГК РФ, мнение Верховного суда РФ по вопросу </w:t>
      </w:r>
      <w:r>
        <w:rPr>
          <w:rFonts w:ascii="Times New Roman" w:hAnsi="Times New Roman" w:cs="Times New Roman"/>
          <w:sz w:val="28"/>
          <w:szCs w:val="28"/>
        </w:rPr>
        <w:t xml:space="preserve">уступки прав по договорам аренды участков, заключенным арендаторами на торгах, возможна передача такими арендаторам прав и обязанностей по договорам аренды, заключенным до 01.06.2015 (до вступления в силу Закона №42-ФЗ), в том числе по результатам торгов. </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А переуступка прав и обязанностей - победителями торгов своих прав и обязанностей по договорам аренды, заключенным после 01.06.2015,  противоречит законодательству.</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Исключение </w:t>
      </w:r>
      <w:r>
        <w:rPr>
          <w:rFonts w:ascii="Times New Roman" w:hAnsi="Times New Roman" w:cs="Times New Roman"/>
          <w:sz w:val="28"/>
          <w:szCs w:val="28"/>
        </w:rPr>
        <w:t xml:space="preserve">составляют случаи передачи арендатором - победителем торгов своих прав и обязанностей по Договору аренды Участка: </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при отчуждении принадлежащего ему объекта недвижимости, расположенного на Участке, являющемся предметом Договора аренды. В данном случае следует учитывать</w:t>
      </w:r>
      <w:r>
        <w:rPr>
          <w:rFonts w:ascii="Times New Roman" w:hAnsi="Times New Roman" w:cs="Times New Roman"/>
          <w:sz w:val="28"/>
          <w:szCs w:val="28"/>
        </w:rPr>
        <w:t xml:space="preserve"> соблюдение установленного подпунктом 5 пункта 1 статьи 1 Земельного кодекса Российской Федерации (далее - ЗК) принципа единства судьбы земельных участков и прочно связанных с ними объектов, положения пункта 2 статьи 271, пункта 3 статьи 552 ГК, пункта 1 с</w:t>
      </w:r>
      <w:r>
        <w:rPr>
          <w:rFonts w:ascii="Times New Roman" w:hAnsi="Times New Roman" w:cs="Times New Roman"/>
          <w:sz w:val="28"/>
          <w:szCs w:val="28"/>
        </w:rPr>
        <w:t xml:space="preserve">татьи 35 ЗК (согласно которым приобретателем объекта недвижимости, расположенного на земельном участке, в силу закона приобретается также право использования соответствующей части земельного участка, занятой таким объектом и необходимой для его использован</w:t>
      </w:r>
      <w:r>
        <w:rPr>
          <w:rFonts w:ascii="Times New Roman" w:hAnsi="Times New Roman" w:cs="Times New Roman"/>
          <w:sz w:val="28"/>
          <w:szCs w:val="28"/>
        </w:rPr>
        <w:t xml:space="preserve">ия, на тех же условиях и в том же объеме, что и прежний собственник данного объекта), подпункта 9 пункта 2 статьи 39.6 ЗК (которой предусмотрено заключение Договора аренды без проведения торгов с собственником здания, сооружения, расположенного на Участке)</w:t>
      </w:r>
      <w:r>
        <w:rPr>
          <w:rFonts w:ascii="Times New Roman" w:hAnsi="Times New Roman" w:cs="Times New Roman"/>
          <w:sz w:val="28"/>
          <w:szCs w:val="28"/>
        </w:rPr>
      </w:r>
      <w:r>
        <w:rPr>
          <w:rFonts w:ascii="Times New Roman" w:hAnsi="Times New Roman" w:cs="Times New Roman"/>
          <w:sz w:val="28"/>
          <w:szCs w:val="28"/>
        </w:rPr>
      </w:r>
    </w:p>
    <w:p>
      <w:pPr>
        <w:pStyle w:val="83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Запрет, установленный п.7 ст.448 ГК РФ, не распространяется на передачу арендатором по Договору аренды Участка, заключенному по результатам торгов, этого Участка в </w:t>
      </w:r>
      <w:r>
        <w:rPr>
          <w:rFonts w:ascii="Times New Roman" w:hAnsi="Times New Roman" w:cs="Times New Roman"/>
          <w:sz w:val="28"/>
          <w:szCs w:val="28"/>
          <w:u w:val="single"/>
        </w:rPr>
        <w:t xml:space="preserve">субаренду</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36"/>
        <w:jc w:val="left"/>
        <w:rPr>
          <w:rFonts w:ascii="Times New Roman" w:hAnsi="Times New Roman" w:cs="Times New Roman"/>
        </w:rPr>
      </w:pPr>
      <w:r>
        <w:rPr>
          <w:rFonts w:ascii="Times New Roman" w:hAnsi="Times New Roman" w:cs="Times New Roman"/>
          <w:sz w:val="28"/>
          <w:szCs w:val="28"/>
        </w:rPr>
      </w:r>
      <w:r>
        <w:rPr>
          <w:rFonts w:ascii="Times New Roman" w:hAnsi="Times New Roman" w:cs="Times New Roman"/>
        </w:rPr>
      </w:r>
    </w:p>
    <w:sectPr>
      <w:footnotePr/>
      <w:endnotePr/>
      <w:type w:val="nextPage"/>
      <w:pgSz w:w="11906" w:h="16838" w:orient="portrait"/>
      <w:pgMar w:top="720" w:right="720" w:bottom="720" w:left="72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ndale Sans UI">
    <w:panose1 w:val="02000603000000000000"/>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1"/>
    <w:next w:val="831"/>
    <w:link w:val="655"/>
    <w:uiPriority w:val="9"/>
    <w:qFormat/>
    <w:pPr>
      <w:keepLines/>
      <w:keepNext/>
      <w:spacing w:before="480" w:after="200"/>
      <w:outlineLvl w:val="0"/>
    </w:pPr>
    <w:rPr>
      <w:rFonts w:ascii="Arial" w:hAnsi="Arial" w:eastAsia="Arial" w:cs="Arial"/>
      <w:sz w:val="40"/>
      <w:szCs w:val="40"/>
    </w:rPr>
  </w:style>
  <w:style w:type="character" w:styleId="655">
    <w:name w:val="Heading 1 Char"/>
    <w:basedOn w:val="832"/>
    <w:link w:val="654"/>
    <w:uiPriority w:val="9"/>
    <w:rPr>
      <w:rFonts w:ascii="Arial" w:hAnsi="Arial" w:eastAsia="Arial" w:cs="Arial"/>
      <w:sz w:val="40"/>
      <w:szCs w:val="40"/>
    </w:rPr>
  </w:style>
  <w:style w:type="paragraph" w:styleId="656">
    <w:name w:val="Heading 2"/>
    <w:basedOn w:val="831"/>
    <w:next w:val="831"/>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2"/>
    <w:link w:val="656"/>
    <w:uiPriority w:val="9"/>
    <w:rPr>
      <w:rFonts w:ascii="Arial" w:hAnsi="Arial" w:eastAsia="Arial" w:cs="Arial"/>
      <w:sz w:val="34"/>
    </w:rPr>
  </w:style>
  <w:style w:type="paragraph" w:styleId="658">
    <w:name w:val="Heading 3"/>
    <w:basedOn w:val="831"/>
    <w:next w:val="831"/>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basedOn w:val="832"/>
    <w:link w:val="658"/>
    <w:uiPriority w:val="9"/>
    <w:rPr>
      <w:rFonts w:ascii="Arial" w:hAnsi="Arial" w:eastAsia="Arial" w:cs="Arial"/>
      <w:sz w:val="30"/>
      <w:szCs w:val="30"/>
    </w:rPr>
  </w:style>
  <w:style w:type="paragraph" w:styleId="660">
    <w:name w:val="Heading 4"/>
    <w:basedOn w:val="831"/>
    <w:next w:val="831"/>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basedOn w:val="832"/>
    <w:link w:val="660"/>
    <w:uiPriority w:val="9"/>
    <w:rPr>
      <w:rFonts w:ascii="Arial" w:hAnsi="Arial" w:eastAsia="Arial" w:cs="Arial"/>
      <w:b/>
      <w:bCs/>
      <w:sz w:val="26"/>
      <w:szCs w:val="26"/>
    </w:rPr>
  </w:style>
  <w:style w:type="paragraph" w:styleId="662">
    <w:name w:val="Heading 5"/>
    <w:basedOn w:val="831"/>
    <w:next w:val="831"/>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basedOn w:val="832"/>
    <w:link w:val="662"/>
    <w:uiPriority w:val="9"/>
    <w:rPr>
      <w:rFonts w:ascii="Arial" w:hAnsi="Arial" w:eastAsia="Arial" w:cs="Arial"/>
      <w:b/>
      <w:bCs/>
      <w:sz w:val="24"/>
      <w:szCs w:val="24"/>
    </w:rPr>
  </w:style>
  <w:style w:type="paragraph" w:styleId="664">
    <w:name w:val="Heading 6"/>
    <w:basedOn w:val="831"/>
    <w:next w:val="831"/>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basedOn w:val="832"/>
    <w:link w:val="664"/>
    <w:uiPriority w:val="9"/>
    <w:rPr>
      <w:rFonts w:ascii="Arial" w:hAnsi="Arial" w:eastAsia="Arial" w:cs="Arial"/>
      <w:b/>
      <w:bCs/>
      <w:sz w:val="22"/>
      <w:szCs w:val="22"/>
    </w:rPr>
  </w:style>
  <w:style w:type="paragraph" w:styleId="666">
    <w:name w:val="Heading 7"/>
    <w:basedOn w:val="831"/>
    <w:next w:val="831"/>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basedOn w:val="832"/>
    <w:link w:val="666"/>
    <w:uiPriority w:val="9"/>
    <w:rPr>
      <w:rFonts w:ascii="Arial" w:hAnsi="Arial" w:eastAsia="Arial" w:cs="Arial"/>
      <w:b/>
      <w:bCs/>
      <w:i/>
      <w:iCs/>
      <w:sz w:val="22"/>
      <w:szCs w:val="22"/>
    </w:rPr>
  </w:style>
  <w:style w:type="paragraph" w:styleId="668">
    <w:name w:val="Heading 8"/>
    <w:basedOn w:val="831"/>
    <w:next w:val="831"/>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basedOn w:val="832"/>
    <w:link w:val="668"/>
    <w:uiPriority w:val="9"/>
    <w:rPr>
      <w:rFonts w:ascii="Arial" w:hAnsi="Arial" w:eastAsia="Arial" w:cs="Arial"/>
      <w:i/>
      <w:iCs/>
      <w:sz w:val="22"/>
      <w:szCs w:val="22"/>
    </w:rPr>
  </w:style>
  <w:style w:type="paragraph" w:styleId="670">
    <w:name w:val="Heading 9"/>
    <w:basedOn w:val="831"/>
    <w:next w:val="831"/>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basedOn w:val="832"/>
    <w:link w:val="670"/>
    <w:uiPriority w:val="9"/>
    <w:rPr>
      <w:rFonts w:ascii="Arial" w:hAnsi="Arial" w:eastAsia="Arial" w:cs="Arial"/>
      <w:i/>
      <w:iCs/>
      <w:sz w:val="21"/>
      <w:szCs w:val="21"/>
    </w:rPr>
  </w:style>
  <w:style w:type="paragraph" w:styleId="672">
    <w:name w:val="List Paragraph"/>
    <w:basedOn w:val="831"/>
    <w:uiPriority w:val="34"/>
    <w:qFormat/>
    <w:pPr>
      <w:contextualSpacing/>
      <w:ind w:left="720"/>
    </w:pPr>
  </w:style>
  <w:style w:type="paragraph" w:styleId="673">
    <w:name w:val="No Spacing"/>
    <w:uiPriority w:val="1"/>
    <w:qFormat/>
    <w:pPr>
      <w:spacing w:before="0" w:after="0" w:line="240" w:lineRule="auto"/>
    </w:pPr>
  </w:style>
  <w:style w:type="paragraph" w:styleId="674">
    <w:name w:val="Title"/>
    <w:basedOn w:val="831"/>
    <w:next w:val="831"/>
    <w:link w:val="675"/>
    <w:uiPriority w:val="10"/>
    <w:qFormat/>
    <w:pPr>
      <w:contextualSpacing/>
      <w:spacing w:before="300" w:after="200"/>
    </w:pPr>
    <w:rPr>
      <w:sz w:val="48"/>
      <w:szCs w:val="48"/>
    </w:rPr>
  </w:style>
  <w:style w:type="character" w:styleId="675">
    <w:name w:val="Title Char"/>
    <w:basedOn w:val="832"/>
    <w:link w:val="674"/>
    <w:uiPriority w:val="10"/>
    <w:rPr>
      <w:sz w:val="48"/>
      <w:szCs w:val="48"/>
    </w:rPr>
  </w:style>
  <w:style w:type="paragraph" w:styleId="676">
    <w:name w:val="Subtitle"/>
    <w:basedOn w:val="831"/>
    <w:next w:val="831"/>
    <w:link w:val="677"/>
    <w:uiPriority w:val="11"/>
    <w:qFormat/>
    <w:pPr>
      <w:spacing w:before="200" w:after="200"/>
    </w:pPr>
    <w:rPr>
      <w:sz w:val="24"/>
      <w:szCs w:val="24"/>
    </w:rPr>
  </w:style>
  <w:style w:type="character" w:styleId="677">
    <w:name w:val="Subtitle Char"/>
    <w:basedOn w:val="832"/>
    <w:link w:val="676"/>
    <w:uiPriority w:val="11"/>
    <w:rPr>
      <w:sz w:val="24"/>
      <w:szCs w:val="24"/>
    </w:rPr>
  </w:style>
  <w:style w:type="paragraph" w:styleId="678">
    <w:name w:val="Quote"/>
    <w:basedOn w:val="831"/>
    <w:next w:val="831"/>
    <w:link w:val="679"/>
    <w:uiPriority w:val="29"/>
    <w:qFormat/>
    <w:pPr>
      <w:ind w:left="720" w:right="720"/>
    </w:pPr>
    <w:rPr>
      <w:i/>
    </w:rPr>
  </w:style>
  <w:style w:type="character" w:styleId="679">
    <w:name w:val="Quote Char"/>
    <w:link w:val="678"/>
    <w:uiPriority w:val="29"/>
    <w:rPr>
      <w:i/>
    </w:rPr>
  </w:style>
  <w:style w:type="paragraph" w:styleId="680">
    <w:name w:val="Intense Quote"/>
    <w:basedOn w:val="831"/>
    <w:next w:val="831"/>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1"/>
    <w:link w:val="683"/>
    <w:uiPriority w:val="99"/>
    <w:unhideWhenUsed/>
    <w:pPr>
      <w:spacing w:after="0" w:line="240" w:lineRule="auto"/>
      <w:tabs>
        <w:tab w:val="center" w:pos="7143" w:leader="none"/>
        <w:tab w:val="right" w:pos="14287" w:leader="none"/>
      </w:tabs>
    </w:pPr>
  </w:style>
  <w:style w:type="character" w:styleId="683">
    <w:name w:val="Header Char"/>
    <w:basedOn w:val="832"/>
    <w:link w:val="682"/>
    <w:uiPriority w:val="99"/>
  </w:style>
  <w:style w:type="paragraph" w:styleId="684">
    <w:name w:val="Footer"/>
    <w:basedOn w:val="831"/>
    <w:link w:val="687"/>
    <w:uiPriority w:val="99"/>
    <w:unhideWhenUsed/>
    <w:pPr>
      <w:spacing w:after="0" w:line="240" w:lineRule="auto"/>
      <w:tabs>
        <w:tab w:val="center" w:pos="7143" w:leader="none"/>
        <w:tab w:val="right" w:pos="14287" w:leader="none"/>
      </w:tabs>
    </w:pPr>
  </w:style>
  <w:style w:type="character" w:styleId="685">
    <w:name w:val="Footer Char"/>
    <w:basedOn w:val="832"/>
    <w:link w:val="684"/>
    <w:uiPriority w:val="99"/>
  </w:style>
  <w:style w:type="paragraph" w:styleId="686">
    <w:name w:val="Caption"/>
    <w:basedOn w:val="831"/>
    <w:next w:val="831"/>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4">
    <w:name w:val="footnote text"/>
    <w:basedOn w:val="831"/>
    <w:link w:val="815"/>
    <w:uiPriority w:val="99"/>
    <w:semiHidden/>
    <w:unhideWhenUsed/>
    <w:pPr>
      <w:spacing w:after="40" w:line="240" w:lineRule="auto"/>
    </w:pPr>
    <w:rPr>
      <w:sz w:val="18"/>
    </w:rPr>
  </w:style>
  <w:style w:type="character" w:styleId="815">
    <w:name w:val="Footnote Text Char"/>
    <w:link w:val="814"/>
    <w:uiPriority w:val="99"/>
    <w:rPr>
      <w:sz w:val="18"/>
    </w:rPr>
  </w:style>
  <w:style w:type="character" w:styleId="816">
    <w:name w:val="footnote reference"/>
    <w:basedOn w:val="832"/>
    <w:uiPriority w:val="99"/>
    <w:unhideWhenUsed/>
    <w:rPr>
      <w:vertAlign w:val="superscript"/>
    </w:rPr>
  </w:style>
  <w:style w:type="paragraph" w:styleId="817">
    <w:name w:val="endnote text"/>
    <w:basedOn w:val="831"/>
    <w:link w:val="818"/>
    <w:uiPriority w:val="99"/>
    <w:semiHidden/>
    <w:unhideWhenUsed/>
    <w:pPr>
      <w:spacing w:after="0" w:line="240" w:lineRule="auto"/>
    </w:pPr>
    <w:rPr>
      <w:sz w:val="20"/>
    </w:rPr>
  </w:style>
  <w:style w:type="character" w:styleId="818">
    <w:name w:val="Endnote Text Char"/>
    <w:link w:val="817"/>
    <w:uiPriority w:val="99"/>
    <w:rPr>
      <w:sz w:val="20"/>
    </w:rPr>
  </w:style>
  <w:style w:type="character" w:styleId="819">
    <w:name w:val="endnote reference"/>
    <w:basedOn w:val="832"/>
    <w:uiPriority w:val="99"/>
    <w:semiHidden/>
    <w:unhideWhenUsed/>
    <w:rPr>
      <w:vertAlign w:val="superscript"/>
    </w:rPr>
  </w:style>
  <w:style w:type="paragraph" w:styleId="820">
    <w:name w:val="toc 1"/>
    <w:basedOn w:val="831"/>
    <w:next w:val="831"/>
    <w:uiPriority w:val="39"/>
    <w:unhideWhenUsed/>
    <w:pPr>
      <w:ind w:left="0" w:right="0" w:firstLine="0"/>
      <w:spacing w:after="57"/>
    </w:pPr>
  </w:style>
  <w:style w:type="paragraph" w:styleId="821">
    <w:name w:val="toc 2"/>
    <w:basedOn w:val="831"/>
    <w:next w:val="831"/>
    <w:uiPriority w:val="39"/>
    <w:unhideWhenUsed/>
    <w:pPr>
      <w:ind w:left="283" w:right="0" w:firstLine="0"/>
      <w:spacing w:after="57"/>
    </w:pPr>
  </w:style>
  <w:style w:type="paragraph" w:styleId="822">
    <w:name w:val="toc 3"/>
    <w:basedOn w:val="831"/>
    <w:next w:val="831"/>
    <w:uiPriority w:val="39"/>
    <w:unhideWhenUsed/>
    <w:pPr>
      <w:ind w:left="567" w:right="0" w:firstLine="0"/>
      <w:spacing w:after="57"/>
    </w:pPr>
  </w:style>
  <w:style w:type="paragraph" w:styleId="823">
    <w:name w:val="toc 4"/>
    <w:basedOn w:val="831"/>
    <w:next w:val="831"/>
    <w:uiPriority w:val="39"/>
    <w:unhideWhenUsed/>
    <w:pPr>
      <w:ind w:left="850" w:right="0" w:firstLine="0"/>
      <w:spacing w:after="57"/>
    </w:pPr>
  </w:style>
  <w:style w:type="paragraph" w:styleId="824">
    <w:name w:val="toc 5"/>
    <w:basedOn w:val="831"/>
    <w:next w:val="831"/>
    <w:uiPriority w:val="39"/>
    <w:unhideWhenUsed/>
    <w:pPr>
      <w:ind w:left="1134" w:right="0" w:firstLine="0"/>
      <w:spacing w:after="57"/>
    </w:pPr>
  </w:style>
  <w:style w:type="paragraph" w:styleId="825">
    <w:name w:val="toc 6"/>
    <w:basedOn w:val="831"/>
    <w:next w:val="831"/>
    <w:uiPriority w:val="39"/>
    <w:unhideWhenUsed/>
    <w:pPr>
      <w:ind w:left="1417" w:right="0" w:firstLine="0"/>
      <w:spacing w:after="57"/>
    </w:pPr>
  </w:style>
  <w:style w:type="paragraph" w:styleId="826">
    <w:name w:val="toc 7"/>
    <w:basedOn w:val="831"/>
    <w:next w:val="831"/>
    <w:uiPriority w:val="39"/>
    <w:unhideWhenUsed/>
    <w:pPr>
      <w:ind w:left="1701" w:right="0" w:firstLine="0"/>
      <w:spacing w:after="57"/>
    </w:pPr>
  </w:style>
  <w:style w:type="paragraph" w:styleId="827">
    <w:name w:val="toc 8"/>
    <w:basedOn w:val="831"/>
    <w:next w:val="831"/>
    <w:uiPriority w:val="39"/>
    <w:unhideWhenUsed/>
    <w:pPr>
      <w:ind w:left="1984" w:right="0" w:firstLine="0"/>
      <w:spacing w:after="57"/>
    </w:pPr>
  </w:style>
  <w:style w:type="paragraph" w:styleId="828">
    <w:name w:val="toc 9"/>
    <w:basedOn w:val="831"/>
    <w:next w:val="831"/>
    <w:uiPriority w:val="39"/>
    <w:unhideWhenUsed/>
    <w:pPr>
      <w:ind w:left="2268" w:right="0" w:firstLine="0"/>
      <w:spacing w:after="57"/>
    </w:pPr>
  </w:style>
  <w:style w:type="paragraph" w:styleId="829">
    <w:name w:val="TOC Heading"/>
    <w:uiPriority w:val="39"/>
    <w:unhideWhenUsed/>
  </w:style>
  <w:style w:type="paragraph" w:styleId="830">
    <w:name w:val="table of figures"/>
    <w:basedOn w:val="831"/>
    <w:next w:val="831"/>
    <w:uiPriority w:val="99"/>
    <w:unhideWhenUsed/>
    <w:pPr>
      <w:spacing w:after="0" w:afterAutospacing="0"/>
    </w:pPr>
  </w:style>
  <w:style w:type="paragraph" w:styleId="831" w:default="1">
    <w:name w:val="Normal"/>
    <w:qFormat/>
  </w:style>
  <w:style w:type="character" w:styleId="832" w:default="1">
    <w:name w:val="Default Paragraph Font"/>
    <w:uiPriority w:val="1"/>
    <w:semiHidden/>
    <w:unhideWhenUsed/>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character" w:styleId="835">
    <w:name w:val="Hyperlink"/>
    <w:basedOn w:val="832"/>
    <w:uiPriority w:val="99"/>
    <w:unhideWhenUsed/>
    <w:rPr>
      <w:color w:val="0563c1" w:themeColor="hyperlink"/>
      <w:u w:val="single"/>
    </w:rPr>
  </w:style>
  <w:style w:type="paragraph" w:styleId="836" w:customStyle="1">
    <w:name w:val="Standard"/>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ndale Sans UI" w:cs="Arial"/>
      <w:b w:val="0"/>
      <w:bCs w:val="0"/>
      <w:i w:val="0"/>
      <w:iCs w:val="0"/>
      <w:caps w:val="0"/>
      <w:smallCaps w:val="0"/>
      <w:strike w:val="0"/>
      <w:vanish w:val="0"/>
      <w:color w:val="auto"/>
      <w:spacing w:val="0"/>
      <w:position w:val="0"/>
      <w:sz w:val="24"/>
      <w:szCs w:val="24"/>
      <w:highlight w:val="none"/>
      <w:u w:val="none"/>
      <w:vertAlign w:val="baseline"/>
      <w:rtl w:val="0"/>
      <w:cs w:val="0"/>
      <w:lang w:val="ru-RU"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Сарафанова Анна Евгеньевна</dc:creator>
  <cp:keywords/>
  <dc:description/>
  <cp:revision>12</cp:revision>
  <dcterms:created xsi:type="dcterms:W3CDTF">2024-09-04T04:39:00Z</dcterms:created>
  <dcterms:modified xsi:type="dcterms:W3CDTF">2025-07-24T04:17:25Z</dcterms:modified>
</cp:coreProperties>
</file>