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3F642C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4FC35092" w:rsidR="00F66618" w:rsidRPr="009D68E4" w:rsidRDefault="00F66618" w:rsidP="002C3907">
            <w:r w:rsidRPr="009D68E4">
              <w:t>тел. 8</w:t>
            </w:r>
            <w:r w:rsidR="00E9394B">
              <w:t> 385 60 22 7 59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497A64" w:rsidRDefault="000A3FD2" w:rsidP="000A3FD2">
      <w:pPr>
        <w:tabs>
          <w:tab w:val="center" w:pos="4677"/>
          <w:tab w:val="left" w:pos="5976"/>
        </w:tabs>
        <w:jc w:val="center"/>
        <w:rPr>
          <w:b/>
        </w:rPr>
      </w:pPr>
      <w:r w:rsidRPr="00497A64">
        <w:rPr>
          <w:b/>
        </w:rPr>
        <w:t xml:space="preserve">Акт </w:t>
      </w:r>
    </w:p>
    <w:p w14:paraId="2724C76E" w14:textId="23ABBDB3" w:rsidR="000A3FD2" w:rsidRPr="00497A64" w:rsidRDefault="000A3FD2" w:rsidP="000A3FD2">
      <w:pPr>
        <w:jc w:val="center"/>
        <w:rPr>
          <w:b/>
        </w:rPr>
      </w:pPr>
      <w:r w:rsidRPr="00497A64">
        <w:rPr>
          <w:b/>
        </w:rPr>
        <w:t>о результатах</w:t>
      </w:r>
      <w:r w:rsidRPr="00497A64">
        <w:rPr>
          <w:b/>
          <w:snapToGrid w:val="0"/>
        </w:rPr>
        <w:t xml:space="preserve"> контрольного мероприятия:</w:t>
      </w:r>
      <w:r w:rsidRPr="00497A64">
        <w:rPr>
          <w:b/>
        </w:rPr>
        <w:t xml:space="preserve"> внешняя проверка годовой бюджетной отчетности главного распорядителя бюджетных средств контрольно-счетная палата Егорьевского района Алтайского края за 202</w:t>
      </w:r>
      <w:r w:rsidR="00E9394B">
        <w:rPr>
          <w:b/>
        </w:rPr>
        <w:t>3</w:t>
      </w:r>
      <w:r w:rsidRPr="00497A64">
        <w:rPr>
          <w:b/>
        </w:rPr>
        <w:t xml:space="preserve"> год</w:t>
      </w:r>
    </w:p>
    <w:p w14:paraId="49037F9B" w14:textId="77777777" w:rsidR="000A3FD2" w:rsidRDefault="000A3FD2" w:rsidP="000A3FD2">
      <w:pPr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198A4E41" w:rsidR="000A3FD2" w:rsidRPr="00497A64" w:rsidRDefault="000A3FD2" w:rsidP="000A3FD2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 w:rsidRPr="00497A64">
        <w:rPr>
          <w:sz w:val="22"/>
          <w:szCs w:val="22"/>
        </w:rPr>
        <w:t xml:space="preserve"> с. Новоегорьевское                                                                       </w:t>
      </w:r>
      <w:r w:rsidR="00022132">
        <w:rPr>
          <w:sz w:val="22"/>
          <w:szCs w:val="22"/>
        </w:rPr>
        <w:t>1</w:t>
      </w:r>
      <w:r w:rsidR="00E9394B">
        <w:rPr>
          <w:sz w:val="22"/>
          <w:szCs w:val="22"/>
        </w:rPr>
        <w:t>9</w:t>
      </w:r>
      <w:r w:rsidRPr="00497A64">
        <w:rPr>
          <w:sz w:val="22"/>
          <w:szCs w:val="22"/>
        </w:rPr>
        <w:t xml:space="preserve"> марта 202</w:t>
      </w:r>
      <w:r w:rsidR="00E9394B">
        <w:rPr>
          <w:sz w:val="22"/>
          <w:szCs w:val="22"/>
        </w:rPr>
        <w:t>4</w:t>
      </w:r>
      <w:r w:rsidRPr="00497A64">
        <w:rPr>
          <w:sz w:val="22"/>
          <w:szCs w:val="22"/>
        </w:rPr>
        <w:t xml:space="preserve"> г.                                                                                    </w:t>
      </w:r>
      <w:r w:rsidRPr="00497A64">
        <w:rPr>
          <w:sz w:val="22"/>
          <w:szCs w:val="22"/>
        </w:rPr>
        <w:tab/>
      </w:r>
    </w:p>
    <w:p w14:paraId="08C7BDC8" w14:textId="77777777" w:rsidR="000A3FD2" w:rsidRDefault="000A3FD2" w:rsidP="000A3FD2">
      <w:pPr>
        <w:spacing w:line="240" w:lineRule="atLeast"/>
        <w:jc w:val="both"/>
      </w:pPr>
    </w:p>
    <w:p w14:paraId="71C860AB" w14:textId="131E3F71" w:rsidR="000A3FD2" w:rsidRPr="00497A64" w:rsidRDefault="00497A64" w:rsidP="000A3FD2">
      <w:pPr>
        <w:tabs>
          <w:tab w:val="left" w:pos="709"/>
        </w:tabs>
        <w:ind w:right="-284"/>
        <w:contextualSpacing/>
        <w:jc w:val="both"/>
      </w:pPr>
      <w:r>
        <w:rPr>
          <w:b/>
        </w:rPr>
        <w:tab/>
      </w:r>
      <w:r w:rsidR="000A3FD2" w:rsidRPr="00497A64">
        <w:rPr>
          <w:b/>
        </w:rPr>
        <w:t xml:space="preserve">Основание для проведения контрольного мероприятия: </w:t>
      </w:r>
      <w:r w:rsidR="000A3FD2" w:rsidRPr="00497A64">
        <w:t>пункт 1.</w:t>
      </w:r>
      <w:r w:rsidR="00E9394B">
        <w:t>6</w:t>
      </w:r>
      <w:r w:rsidR="000A3FD2" w:rsidRPr="00497A64">
        <w:t xml:space="preserve"> Плана работы контрольно-счетной палаты Егорьевского района Алтайского края на 202</w:t>
      </w:r>
      <w:r w:rsidR="00E9394B">
        <w:t>4</w:t>
      </w:r>
      <w:r w:rsidR="000A3FD2" w:rsidRPr="00497A64">
        <w:t xml:space="preserve"> год, утвержденного распоряжением контрольно-счетной палаты Егорьевского района Алтайского края от 2</w:t>
      </w:r>
      <w:r w:rsidR="00E9394B">
        <w:t>7</w:t>
      </w:r>
      <w:r w:rsidR="000A3FD2" w:rsidRPr="00497A64">
        <w:t>.12.202</w:t>
      </w:r>
      <w:r w:rsidR="00E9394B">
        <w:t>3</w:t>
      </w:r>
      <w:r w:rsidR="000A3FD2" w:rsidRPr="00497A64">
        <w:t xml:space="preserve"> г. № </w:t>
      </w:r>
      <w:r w:rsidR="00E9394B">
        <w:t>70</w:t>
      </w:r>
      <w:r w:rsidR="000A3FD2" w:rsidRPr="00497A64">
        <w:t>, распоряжение контрольно-счетной палаты Егорьевского района Алтайского края от 1</w:t>
      </w:r>
      <w:r w:rsidR="00FC5340">
        <w:t>1</w:t>
      </w:r>
      <w:r w:rsidR="000A3FD2" w:rsidRPr="00497A64">
        <w:t>.03.202</w:t>
      </w:r>
      <w:r w:rsidR="00FC5340">
        <w:t>4</w:t>
      </w:r>
      <w:r w:rsidR="000A3FD2" w:rsidRPr="00497A64">
        <w:t xml:space="preserve"> г. № </w:t>
      </w:r>
      <w:r w:rsidR="00FC5340">
        <w:t>4</w:t>
      </w:r>
      <w:r w:rsidR="000A3FD2" w:rsidRPr="00497A64">
        <w:t xml:space="preserve"> «О внешней проверки годовой бюджетной отчетности главн</w:t>
      </w:r>
      <w:r w:rsidR="00A30926" w:rsidRPr="00497A64">
        <w:t>ых</w:t>
      </w:r>
      <w:r w:rsidR="000A3FD2" w:rsidRPr="00497A64">
        <w:t xml:space="preserve"> распорядител</w:t>
      </w:r>
      <w:r w:rsidR="00A30926" w:rsidRPr="00497A64">
        <w:t>ей</w:t>
      </w:r>
      <w:r w:rsidR="000A3FD2" w:rsidRPr="00497A64">
        <w:t xml:space="preserve"> бюджетных средств </w:t>
      </w:r>
      <w:r w:rsidR="00A30926" w:rsidRPr="00497A64">
        <w:t>районного бюджета</w:t>
      </w:r>
      <w:r w:rsidR="000A3FD2" w:rsidRPr="00497A64">
        <w:t xml:space="preserve"> за 202</w:t>
      </w:r>
      <w:r w:rsidR="00FC5340">
        <w:t>3</w:t>
      </w:r>
      <w:r w:rsidR="000A3FD2" w:rsidRPr="00497A64">
        <w:t xml:space="preserve"> год».       </w:t>
      </w:r>
    </w:p>
    <w:p w14:paraId="2F31771C" w14:textId="33AC1849" w:rsidR="000A3FD2" w:rsidRPr="00497A64" w:rsidRDefault="000A3FD2" w:rsidP="00497A64">
      <w:pPr>
        <w:ind w:right="-284" w:firstLine="708"/>
        <w:contextualSpacing/>
        <w:jc w:val="both"/>
        <w:rPr>
          <w:bCs/>
        </w:rPr>
      </w:pPr>
      <w:r w:rsidRPr="00497A64">
        <w:rPr>
          <w:b/>
        </w:rPr>
        <w:t>Предмет контрольного мероприятия:</w:t>
      </w:r>
      <w:r w:rsidRPr="00497A64">
        <w:t xml:space="preserve"> годовая бюджетная отчетность главного распорядителя бюджетных средств</w:t>
      </w:r>
      <w:r w:rsidRPr="00497A64">
        <w:rPr>
          <w:b/>
        </w:rPr>
        <w:t xml:space="preserve"> </w:t>
      </w:r>
      <w:r w:rsidR="00A30926" w:rsidRPr="00497A64">
        <w:rPr>
          <w:bCs/>
        </w:rPr>
        <w:t>контрольно-счетная палата Егорьевского</w:t>
      </w:r>
      <w:r w:rsidRPr="00497A64">
        <w:rPr>
          <w:bCs/>
        </w:rPr>
        <w:t xml:space="preserve"> района </w:t>
      </w:r>
      <w:r w:rsidR="00A30926" w:rsidRPr="00497A64">
        <w:rPr>
          <w:bCs/>
        </w:rPr>
        <w:t xml:space="preserve">Алтайского края </w:t>
      </w:r>
      <w:r w:rsidRPr="00497A64">
        <w:rPr>
          <w:bCs/>
        </w:rPr>
        <w:t>за 202</w:t>
      </w:r>
      <w:r w:rsidR="00FC5340">
        <w:rPr>
          <w:bCs/>
        </w:rPr>
        <w:t>3</w:t>
      </w:r>
      <w:r w:rsidRPr="00497A64">
        <w:rPr>
          <w:bCs/>
        </w:rPr>
        <w:t xml:space="preserve"> год.</w:t>
      </w:r>
    </w:p>
    <w:p w14:paraId="17B331BC" w14:textId="74BCA2EC" w:rsidR="000A3FD2" w:rsidRPr="00497A64" w:rsidRDefault="000A3FD2" w:rsidP="000A3FD2">
      <w:pPr>
        <w:ind w:right="-284" w:firstLine="708"/>
        <w:contextualSpacing/>
        <w:jc w:val="both"/>
      </w:pPr>
      <w:r w:rsidRPr="00497A64">
        <w:rPr>
          <w:b/>
        </w:rPr>
        <w:t>Объект контрольного мероприятия:</w:t>
      </w:r>
      <w:r w:rsidRPr="00497A64">
        <w:t xml:space="preserve"> </w:t>
      </w:r>
      <w:r w:rsidR="00A30926" w:rsidRPr="00497A64">
        <w:t>контрольно-счетная палата Егорьевского</w:t>
      </w:r>
      <w:r w:rsidRPr="00497A64">
        <w:t xml:space="preserve"> района</w:t>
      </w:r>
      <w:r w:rsidR="00A30926" w:rsidRPr="00497A64">
        <w:t xml:space="preserve"> Алтайского края</w:t>
      </w:r>
      <w:r w:rsidRPr="00497A64">
        <w:t>.</w:t>
      </w:r>
    </w:p>
    <w:p w14:paraId="5087B47D" w14:textId="52A5338C" w:rsidR="000A3FD2" w:rsidRPr="00497A64" w:rsidRDefault="000A3FD2" w:rsidP="000A3FD2">
      <w:pPr>
        <w:ind w:right="-284" w:firstLine="708"/>
        <w:contextualSpacing/>
        <w:jc w:val="both"/>
      </w:pPr>
      <w:r w:rsidRPr="00497A64">
        <w:rPr>
          <w:b/>
        </w:rPr>
        <w:t>Срок проведения контрольного мероприятия:</w:t>
      </w:r>
      <w:r w:rsidRPr="00497A64">
        <w:t xml:space="preserve"> – с «1</w:t>
      </w:r>
      <w:r w:rsidR="00FC5340">
        <w:t>1</w:t>
      </w:r>
      <w:r w:rsidRPr="00497A64">
        <w:t>» марта по «1</w:t>
      </w:r>
      <w:r w:rsidR="00FC5340">
        <w:t>9</w:t>
      </w:r>
      <w:r w:rsidRPr="00497A64">
        <w:t>» марта 202</w:t>
      </w:r>
      <w:r w:rsidR="00FC5340">
        <w:t>4</w:t>
      </w:r>
      <w:r w:rsidRPr="00497A64">
        <w:t xml:space="preserve"> г.</w:t>
      </w:r>
    </w:p>
    <w:p w14:paraId="01240C49" w14:textId="77777777" w:rsidR="000A3FD2" w:rsidRPr="00497A64" w:rsidRDefault="000A3FD2" w:rsidP="000A3FD2">
      <w:pPr>
        <w:ind w:firstLine="708"/>
        <w:contextualSpacing/>
        <w:jc w:val="both"/>
        <w:rPr>
          <w:b/>
        </w:rPr>
      </w:pPr>
      <w:r w:rsidRPr="00497A64">
        <w:rPr>
          <w:b/>
        </w:rPr>
        <w:t xml:space="preserve">Цели контрольного мероприятия: </w:t>
      </w:r>
    </w:p>
    <w:p w14:paraId="5EF7FD12" w14:textId="2079DD26" w:rsidR="000A3FD2" w:rsidRPr="00497A64" w:rsidRDefault="000A3FD2" w:rsidP="00497A64">
      <w:pPr>
        <w:ind w:firstLine="705"/>
        <w:contextualSpacing/>
        <w:jc w:val="both"/>
      </w:pPr>
      <w:r w:rsidRPr="00497A64">
        <w:t>1. установление полноты и прозрачности бюджетной отчетности главного распорядителя бюджетных средств</w:t>
      </w:r>
      <w:r w:rsidRPr="00497A64">
        <w:rPr>
          <w:b/>
        </w:rPr>
        <w:t xml:space="preserve"> </w:t>
      </w:r>
      <w:r w:rsidRPr="00497A64">
        <w:t xml:space="preserve">и ее соответствие требованиям нормативных правовых актов;   </w:t>
      </w:r>
      <w:r w:rsidRPr="00497A64">
        <w:cr/>
      </w:r>
      <w:r w:rsidR="00497A64">
        <w:t xml:space="preserve">            </w:t>
      </w:r>
      <w:r w:rsidRPr="00497A64">
        <w:t xml:space="preserve"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6AB4905A" w14:textId="62D598BE" w:rsidR="000A3FD2" w:rsidRPr="00497A64" w:rsidRDefault="000A3FD2" w:rsidP="000A3FD2">
      <w:pPr>
        <w:tabs>
          <w:tab w:val="left" w:pos="709"/>
          <w:tab w:val="left" w:pos="851"/>
        </w:tabs>
        <w:ind w:firstLine="708"/>
        <w:contextualSpacing/>
        <w:jc w:val="both"/>
      </w:pPr>
      <w:r w:rsidRPr="00497A64">
        <w:rPr>
          <w:b/>
        </w:rPr>
        <w:t>Проверяемый период деятельности:</w:t>
      </w:r>
      <w:r w:rsidRPr="00497A64">
        <w:t xml:space="preserve"> 202</w:t>
      </w:r>
      <w:r w:rsidR="00FC5340">
        <w:t>3</w:t>
      </w:r>
      <w:r w:rsidRPr="00497A64">
        <w:t xml:space="preserve"> год.</w:t>
      </w:r>
    </w:p>
    <w:p w14:paraId="3DC060C3" w14:textId="1E58EB5E" w:rsidR="000A3FD2" w:rsidRPr="00497A64" w:rsidRDefault="000A3FD2" w:rsidP="00497A64">
      <w:pPr>
        <w:spacing w:before="120"/>
        <w:ind w:right="-284" w:firstLine="708"/>
        <w:contextualSpacing/>
      </w:pPr>
      <w:r w:rsidRPr="00497A64">
        <w:rPr>
          <w:b/>
        </w:rPr>
        <w:t>Информация об объекте контрольного мероприятия</w:t>
      </w:r>
      <w:r w:rsidRPr="00497A64">
        <w:t>:</w:t>
      </w:r>
    </w:p>
    <w:p w14:paraId="5B7CA994" w14:textId="797A858B" w:rsidR="000A3FD2" w:rsidRPr="00497A64" w:rsidRDefault="000A3FD2" w:rsidP="00497A64">
      <w:pPr>
        <w:ind w:firstLine="708"/>
        <w:contextualSpacing/>
        <w:jc w:val="both"/>
      </w:pPr>
      <w:r w:rsidRPr="00497A64">
        <w:t>Ко</w:t>
      </w:r>
      <w:r w:rsidR="00A30926" w:rsidRPr="00497A64">
        <w:t>нтрольно-счетная палата Егорьевского</w:t>
      </w:r>
      <w:r w:rsidRPr="00497A64">
        <w:t xml:space="preserve"> района Алтайского края (далее по тексту </w:t>
      </w:r>
      <w:r w:rsidR="00A30926" w:rsidRPr="00497A64">
        <w:t>–</w:t>
      </w:r>
      <w:r w:rsidRPr="00497A64">
        <w:t xml:space="preserve"> </w:t>
      </w:r>
      <w:r w:rsidR="00A30926" w:rsidRPr="00497A64">
        <w:t>к</w:t>
      </w:r>
      <w:r w:rsidRPr="00497A64">
        <w:t>о</w:t>
      </w:r>
      <w:r w:rsidR="00A30926" w:rsidRPr="00497A64">
        <w:t>нтрольно-счетная палата</w:t>
      </w:r>
      <w:r w:rsidRPr="00497A64">
        <w:t xml:space="preserve">) является </w:t>
      </w:r>
      <w:r w:rsidR="00AB0645" w:rsidRPr="00497A64">
        <w:t>постоянно действующим органом внешнего муниципального финансового контроля, образуется Егорьевским районным Советом депутатов Алтайского края и ему подотчетен</w:t>
      </w:r>
      <w:r w:rsidRPr="00497A64">
        <w:t>.</w:t>
      </w:r>
      <w:r w:rsidR="00AB0645" w:rsidRPr="00497A64">
        <w:t xml:space="preserve"> Обладает организационной и функциональной независимостью и осуществляет свою деятельность самостоятельно. Деятельность не может быть приостановлена, в том числе в связи с ист</w:t>
      </w:r>
      <w:r w:rsidR="00245E19" w:rsidRPr="00497A64">
        <w:t>е</w:t>
      </w:r>
      <w:r w:rsidR="00AB0645" w:rsidRPr="00497A64">
        <w:t>чением срока или досрочным прекращением полномочий Егорьевского</w:t>
      </w:r>
      <w:r w:rsidR="00245E19" w:rsidRPr="00497A64">
        <w:t xml:space="preserve"> районного Совета депутатов Алтайского края. Контрольно-счетная палата входит в структуру органов местного самоуправления Егорьевского района Алтайского края, обладает правами юридического лица, имеет печать, штамп и бланк со своим наименованием.</w:t>
      </w:r>
    </w:p>
    <w:p w14:paraId="51796EC8" w14:textId="6C622E03" w:rsidR="00245E19" w:rsidRPr="00497A64" w:rsidRDefault="00245E19" w:rsidP="000A3FD2">
      <w:pPr>
        <w:contextualSpacing/>
        <w:jc w:val="both"/>
      </w:pPr>
      <w:r w:rsidRPr="00497A64">
        <w:tab/>
        <w:t xml:space="preserve">Контрольно-счетная палата при осуществлении своей деятельности руководствуется Конституцией Российской Федерации, федеральными законами и иными нормативными </w:t>
      </w:r>
      <w:r w:rsidRPr="00497A64">
        <w:lastRenderedPageBreak/>
        <w:t>правовыми актами Российской Федерации, законами и иными нормативными правовыми актами Алтайского края, Уставом муниципального образования егорьевский район Алтайского края и иными муниципальными правовыми актами, Положением о контрольно-счетной палаты Егорьевского района Алтайского края.</w:t>
      </w:r>
    </w:p>
    <w:p w14:paraId="58828302" w14:textId="11922498" w:rsidR="000A3FD2" w:rsidRPr="00497A64" w:rsidRDefault="000A3FD2" w:rsidP="000A3FD2">
      <w:pPr>
        <w:ind w:firstLine="708"/>
        <w:jc w:val="both"/>
      </w:pPr>
      <w:r w:rsidRPr="00497A64">
        <w:t>Местонахождение ко</w:t>
      </w:r>
      <w:r w:rsidR="00245E19" w:rsidRPr="00497A64">
        <w:t>нтрольно-счетной палаты</w:t>
      </w:r>
      <w:r w:rsidRPr="00497A64">
        <w:t>:</w:t>
      </w:r>
    </w:p>
    <w:p w14:paraId="21E8C150" w14:textId="26B9C174" w:rsidR="000A3FD2" w:rsidRPr="00497A64" w:rsidRDefault="000A3FD2" w:rsidP="000A3FD2">
      <w:pPr>
        <w:ind w:firstLine="708"/>
        <w:jc w:val="both"/>
      </w:pPr>
      <w:r w:rsidRPr="00497A64">
        <w:t>6582</w:t>
      </w:r>
      <w:r w:rsidR="00245E19" w:rsidRPr="00497A64">
        <w:t>8</w:t>
      </w:r>
      <w:r w:rsidRPr="00497A64">
        <w:t xml:space="preserve">0, Алтайский край, </w:t>
      </w:r>
      <w:r w:rsidR="00245E19" w:rsidRPr="00497A64">
        <w:t>село Новоегорьевское</w:t>
      </w:r>
      <w:r w:rsidRPr="00497A64">
        <w:t xml:space="preserve">, улица </w:t>
      </w:r>
      <w:proofErr w:type="spellStart"/>
      <w:r w:rsidR="00245E19" w:rsidRPr="00497A64">
        <w:t>Машинцева</w:t>
      </w:r>
      <w:proofErr w:type="spellEnd"/>
      <w:r w:rsidRPr="00497A64">
        <w:t xml:space="preserve">, </w:t>
      </w:r>
      <w:r w:rsidR="00245E19" w:rsidRPr="00497A64">
        <w:t xml:space="preserve">владение </w:t>
      </w:r>
      <w:r w:rsidRPr="00497A64">
        <w:t>1</w:t>
      </w:r>
      <w:r w:rsidR="00245E19" w:rsidRPr="00497A64">
        <w:t>5</w:t>
      </w:r>
      <w:r w:rsidRPr="00497A64">
        <w:t>.</w:t>
      </w:r>
    </w:p>
    <w:p w14:paraId="794CEEE1" w14:textId="49B165EC" w:rsidR="000A3FD2" w:rsidRPr="00497A64" w:rsidRDefault="000A3FD2" w:rsidP="000A3FD2">
      <w:pPr>
        <w:ind w:firstLine="708"/>
        <w:jc w:val="both"/>
      </w:pPr>
      <w:r w:rsidRPr="00497A64">
        <w:t xml:space="preserve">Полное наименование </w:t>
      </w:r>
      <w:r w:rsidR="00245E19" w:rsidRPr="00497A64">
        <w:t>контрольно-счетной палаты</w:t>
      </w:r>
      <w:r w:rsidRPr="00497A64">
        <w:t xml:space="preserve">: </w:t>
      </w:r>
      <w:r w:rsidR="00245E19" w:rsidRPr="00497A64">
        <w:t>контрольно-счетная палата Егорьевского</w:t>
      </w:r>
      <w:r w:rsidRPr="00497A64">
        <w:t xml:space="preserve"> района Алтайского края.</w:t>
      </w:r>
    </w:p>
    <w:p w14:paraId="17751F42" w14:textId="57C139FA" w:rsidR="000A3FD2" w:rsidRPr="00497A64" w:rsidRDefault="000A3FD2" w:rsidP="000A3FD2">
      <w:pPr>
        <w:ind w:firstLine="708"/>
        <w:jc w:val="both"/>
      </w:pPr>
      <w:r w:rsidRPr="00497A64">
        <w:t xml:space="preserve">Сокращенное наименование </w:t>
      </w:r>
      <w:r w:rsidR="00701912" w:rsidRPr="00497A64">
        <w:t>контрольно-счетная палата района</w:t>
      </w:r>
      <w:r w:rsidRPr="00497A64">
        <w:t>.</w:t>
      </w:r>
    </w:p>
    <w:p w14:paraId="73AC5F38" w14:textId="3B754219" w:rsidR="000A3FD2" w:rsidRPr="00497A64" w:rsidRDefault="000A3FD2" w:rsidP="000A3FD2">
      <w:pPr>
        <w:ind w:firstLine="708"/>
        <w:jc w:val="both"/>
      </w:pPr>
      <w:r w:rsidRPr="00497A64">
        <w:t>В соответствии с Приложением № 3 «</w:t>
      </w:r>
      <w:r w:rsidR="00701912" w:rsidRPr="00497A64">
        <w:t>Распределение бюджетных ассигнований по разделам, подразделам, целевым статьям и видам расходов классификации расходов районного бюджета в ведомственной структуре расходов на 202</w:t>
      </w:r>
      <w:r w:rsidR="00FC2CF6">
        <w:t>3</w:t>
      </w:r>
      <w:r w:rsidR="00701912" w:rsidRPr="00497A64">
        <w:t xml:space="preserve"> год</w:t>
      </w:r>
      <w:r w:rsidRPr="00497A64">
        <w:t xml:space="preserve">» решения </w:t>
      </w:r>
      <w:r w:rsidR="00701912" w:rsidRPr="00497A64">
        <w:t>Егорьевского</w:t>
      </w:r>
      <w:r w:rsidRPr="00497A64">
        <w:t xml:space="preserve"> районного Со</w:t>
      </w:r>
      <w:r w:rsidR="00701912" w:rsidRPr="00497A64">
        <w:t>вета</w:t>
      </w:r>
      <w:r w:rsidRPr="00497A64">
        <w:t xml:space="preserve"> депутатов</w:t>
      </w:r>
      <w:r w:rsidR="00701912" w:rsidRPr="00497A64">
        <w:t xml:space="preserve"> Алтайского края</w:t>
      </w:r>
      <w:r w:rsidRPr="00497A64">
        <w:t xml:space="preserve"> «О бюджет</w:t>
      </w:r>
      <w:r w:rsidR="00701912" w:rsidRPr="00497A64">
        <w:t>е муниципального образования Егорьевский район Алтайского края</w:t>
      </w:r>
      <w:r w:rsidRPr="00497A64">
        <w:t xml:space="preserve"> на 202</w:t>
      </w:r>
      <w:r w:rsidR="00FC2CF6">
        <w:t>3</w:t>
      </w:r>
      <w:r w:rsidRPr="00497A64">
        <w:t xml:space="preserve"> год» от 2</w:t>
      </w:r>
      <w:r w:rsidR="00497A64">
        <w:t>8</w:t>
      </w:r>
      <w:r w:rsidRPr="00497A64">
        <w:t>.12.20</w:t>
      </w:r>
      <w:r w:rsidR="00701912" w:rsidRPr="00497A64">
        <w:t>2</w:t>
      </w:r>
      <w:r w:rsidR="00FC2CF6">
        <w:t>2</w:t>
      </w:r>
      <w:r w:rsidRPr="00497A64">
        <w:t xml:space="preserve"> № </w:t>
      </w:r>
      <w:r w:rsidR="00497A64">
        <w:t>1</w:t>
      </w:r>
      <w:r w:rsidR="00FC2CF6">
        <w:t>1</w:t>
      </w:r>
      <w:r w:rsidR="00497A64">
        <w:t>3</w:t>
      </w:r>
      <w:r w:rsidRPr="00497A64">
        <w:t xml:space="preserve">, </w:t>
      </w:r>
      <w:r w:rsidR="00701912" w:rsidRPr="00497A64">
        <w:t>контрольно-счетная палата</w:t>
      </w:r>
      <w:r w:rsidRPr="00497A64">
        <w:t xml:space="preserve"> является  главным  администратором </w:t>
      </w:r>
      <w:r w:rsidR="00701912" w:rsidRPr="00497A64">
        <w:t>расходов</w:t>
      </w:r>
      <w:r w:rsidRPr="00497A64">
        <w:t xml:space="preserve"> районного бюджета, с кодом </w:t>
      </w:r>
      <w:r w:rsidR="00701912" w:rsidRPr="00497A64">
        <w:t>305</w:t>
      </w:r>
      <w:r w:rsidRPr="00497A64">
        <w:t>, что соответствует ст.6 Бюджетного кодекса Российской Федерации.</w:t>
      </w:r>
    </w:p>
    <w:p w14:paraId="11EB7232" w14:textId="4C21061A" w:rsidR="000A3FD2" w:rsidRPr="00497A64" w:rsidRDefault="000A3FD2" w:rsidP="002D57DB">
      <w:pPr>
        <w:ind w:firstLine="708"/>
        <w:jc w:val="both"/>
      </w:pPr>
      <w:r w:rsidRPr="00497A64">
        <w:t>Председатель ко</w:t>
      </w:r>
      <w:r w:rsidR="003E7CF3" w:rsidRPr="00497A64">
        <w:t>нтрольно-счетной палаты</w:t>
      </w:r>
      <w:r w:rsidRPr="00497A64">
        <w:t xml:space="preserve"> – </w:t>
      </w:r>
      <w:r w:rsidR="003E7CF3" w:rsidRPr="00497A64">
        <w:t>Мезенцева Елена Владимировна</w:t>
      </w:r>
      <w:r w:rsidRPr="00497A64">
        <w:t>.</w:t>
      </w:r>
    </w:p>
    <w:p w14:paraId="1088A9F4" w14:textId="66CA52D2" w:rsidR="000A3FD2" w:rsidRPr="00497A64" w:rsidRDefault="000A3FD2" w:rsidP="00497A64">
      <w:pPr>
        <w:ind w:firstLine="708"/>
        <w:jc w:val="both"/>
      </w:pPr>
      <w:r w:rsidRPr="00497A64">
        <w:t xml:space="preserve">Главный бухгалтер </w:t>
      </w:r>
      <w:r w:rsidR="00BD66DC" w:rsidRPr="00497A64">
        <w:t>–</w:t>
      </w:r>
      <w:r w:rsidRPr="00497A64">
        <w:t xml:space="preserve"> </w:t>
      </w:r>
      <w:r w:rsidR="00BD66DC" w:rsidRPr="00497A64">
        <w:t>в штатном расписании отсутствует</w:t>
      </w:r>
      <w:r w:rsidRPr="00497A64">
        <w:t>.</w:t>
      </w:r>
    </w:p>
    <w:p w14:paraId="65ECBB8C" w14:textId="633C544E" w:rsidR="000A3FD2" w:rsidRPr="00497A64" w:rsidRDefault="00497A64" w:rsidP="000A3FD2">
      <w:pPr>
        <w:tabs>
          <w:tab w:val="left" w:pos="709"/>
          <w:tab w:val="left" w:pos="851"/>
        </w:tabs>
        <w:jc w:val="both"/>
      </w:pPr>
      <w:r>
        <w:tab/>
      </w:r>
      <w:r w:rsidR="000A3FD2" w:rsidRPr="00497A64">
        <w:t>Внешняя проверка годовой бюджетной отчетности за 202</w:t>
      </w:r>
      <w:r w:rsidR="00FC2CF6">
        <w:t>3</w:t>
      </w:r>
      <w:r w:rsidR="000A3FD2" w:rsidRPr="00497A64">
        <w:t xml:space="preserve"> год проведена камеральным способом, на основании представленных </w:t>
      </w:r>
      <w:r w:rsidR="003E7CF3" w:rsidRPr="00497A64">
        <w:t>контрольно-счетной палатой</w:t>
      </w:r>
      <w:r w:rsidR="000A3FD2" w:rsidRPr="00497A64">
        <w:t xml:space="preserve"> </w:t>
      </w:r>
      <w:r w:rsidR="003E7CF3" w:rsidRPr="00497A64">
        <w:t>Егорьевского</w:t>
      </w:r>
      <w:r w:rsidR="000A3FD2" w:rsidRPr="00497A64">
        <w:t xml:space="preserve"> района Алтайского края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497A64" w:rsidRDefault="000A3FD2" w:rsidP="000A3FD2">
      <w:pPr>
        <w:pStyle w:val="Default"/>
        <w:ind w:firstLine="708"/>
        <w:jc w:val="both"/>
      </w:pPr>
    </w:p>
    <w:p w14:paraId="508C3C88" w14:textId="71CCDA11" w:rsidR="000A3FD2" w:rsidRPr="00497A64" w:rsidRDefault="000A3FD2" w:rsidP="000A3FD2">
      <w:pPr>
        <w:spacing w:before="120"/>
        <w:ind w:right="-284"/>
        <w:jc w:val="center"/>
        <w:rPr>
          <w:b/>
        </w:rPr>
      </w:pPr>
      <w:r w:rsidRPr="00497A64">
        <w:rPr>
          <w:b/>
        </w:rPr>
        <w:t>По результатам контрольного мероприятия установлено следующее:</w:t>
      </w:r>
    </w:p>
    <w:p w14:paraId="2EFB0B11" w14:textId="6B953F43" w:rsidR="000A3FD2" w:rsidRPr="00497A64" w:rsidRDefault="000A3FD2" w:rsidP="000A3FD2">
      <w:pPr>
        <w:contextualSpacing/>
        <w:jc w:val="center"/>
      </w:pPr>
      <w:r w:rsidRPr="00497A64">
        <w:rPr>
          <w:b/>
        </w:rPr>
        <w:t>1. Анализ составления и представления отчетности по составу,</w:t>
      </w:r>
      <w:r w:rsidRPr="00497A64">
        <w:rPr>
          <w:b/>
        </w:rPr>
        <w:cr/>
        <w:t xml:space="preserve">содержанию, прозрачности и информативности показателей </w:t>
      </w:r>
      <w:r w:rsidRPr="00497A64">
        <w:rPr>
          <w:b/>
        </w:rPr>
        <w:cr/>
      </w:r>
    </w:p>
    <w:p w14:paraId="6C6909A3" w14:textId="5B6A0797" w:rsidR="00FC2CF6" w:rsidRPr="00103E9E" w:rsidRDefault="00FC2CF6" w:rsidP="00741FEE">
      <w:pPr>
        <w:pStyle w:val="a3"/>
        <w:ind w:left="0" w:firstLine="709"/>
        <w:jc w:val="both"/>
      </w:pPr>
      <w:r w:rsidRPr="00103E9E">
        <w:rPr>
          <w:bCs/>
        </w:rPr>
        <w:t>Бю</w:t>
      </w:r>
      <w:r w:rsidRPr="00103E9E">
        <w:t>джетная отчетность за 202</w:t>
      </w:r>
      <w:r>
        <w:t>3</w:t>
      </w:r>
      <w:r w:rsidRPr="00103E9E">
        <w:t xml:space="preserve"> год представлена </w:t>
      </w:r>
      <w:r w:rsidR="00E87BE1">
        <w:t>контрольно-счетной пал</w:t>
      </w:r>
      <w:r w:rsidR="00AC1179">
        <w:t>а</w:t>
      </w:r>
      <w:r w:rsidR="00E87BE1">
        <w:t>той</w:t>
      </w:r>
      <w:r w:rsidRPr="00103E9E">
        <w:t xml:space="preserve"> Егорьевского района без нарушения сроков, установленных Положением о бюджетном процессе и финансовом контроле в муниципальном образовании Егорьевский район Алтайского края, утвержденного решением Егорьевского районного Совета депутатов Алтайского края от 25.02.2022 № 18.</w:t>
      </w:r>
    </w:p>
    <w:p w14:paraId="14A3B558" w14:textId="77777777" w:rsidR="00FC2CF6" w:rsidRPr="00103E9E" w:rsidRDefault="00FC2CF6" w:rsidP="00741FEE">
      <w:pPr>
        <w:ind w:firstLine="708"/>
        <w:jc w:val="both"/>
      </w:pPr>
      <w:r w:rsidRPr="00103E9E">
        <w:t xml:space="preserve">Бюджетная отчетность главного распорядителя бюджетных средств 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 </w:t>
      </w:r>
    </w:p>
    <w:p w14:paraId="67709FA6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6" w:anchor="8RA0M9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6A9835C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по консолидируемым расчетам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7" w:anchor="8RE0M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0215B62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ABB74D9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о суммах консолидируемых поступлений, подлежащих зачислению на счет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9" w:anchor="A7E0N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47E9627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7533087" w14:textId="77777777" w:rsidR="00FC2CF6" w:rsidRPr="00103E9E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103E9E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103E9E">
        <w:rPr>
          <w:rFonts w:ascii="Times New Roman" w:hAnsi="Times New Roman" w:cs="Times New Roman"/>
          <w:b w:val="0"/>
          <w:bCs w:val="0"/>
        </w:rPr>
        <w:t>);</w:t>
      </w:r>
    </w:p>
    <w:p w14:paraId="4D79AD7E" w14:textId="77777777" w:rsidR="00FC2CF6" w:rsidRPr="00103E9E" w:rsidRDefault="00FC2CF6" w:rsidP="00741FEE">
      <w:pPr>
        <w:ind w:firstLine="708"/>
        <w:rPr>
          <w:lang w:eastAsia="en-US"/>
        </w:rPr>
      </w:pPr>
      <w:r w:rsidRPr="00103E9E">
        <w:t>- Отчет о финансовых результатах деятельности (</w:t>
      </w:r>
      <w:hyperlink r:id="rId12" w:anchor="8QQ0M3" w:history="1">
        <w:r w:rsidRPr="00E87BE1">
          <w:rPr>
            <w:rStyle w:val="a6"/>
            <w:color w:val="auto"/>
            <w:u w:val="none"/>
          </w:rPr>
          <w:t>ф.0503121</w:t>
        </w:r>
      </w:hyperlink>
      <w:r w:rsidRPr="00E87BE1">
        <w:t>)</w:t>
      </w:r>
      <w:r w:rsidRPr="00103E9E">
        <w:t>;</w:t>
      </w:r>
    </w:p>
    <w:p w14:paraId="50019DC1" w14:textId="77777777" w:rsidR="00FC2CF6" w:rsidRPr="000D1181" w:rsidRDefault="00FC2CF6" w:rsidP="00741FEE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</w:t>
      </w:r>
      <w:r w:rsidRPr="000D1181">
        <w:rPr>
          <w:rFonts w:ascii="Times New Roman" w:hAnsi="Times New Roman" w:cs="Times New Roman"/>
          <w:b w:val="0"/>
          <w:bCs w:val="0"/>
          <w:color w:val="auto"/>
        </w:rPr>
        <w:t>;</w:t>
      </w:r>
    </w:p>
    <w:p w14:paraId="690DCCED" w14:textId="77777777" w:rsidR="00FC2CF6" w:rsidRDefault="00FC2CF6" w:rsidP="00741FEE">
      <w:pPr>
        <w:tabs>
          <w:tab w:val="left" w:pos="709"/>
        </w:tabs>
        <w:contextualSpacing/>
        <w:jc w:val="both"/>
      </w:pPr>
      <w:r w:rsidRPr="00103E9E">
        <w:lastRenderedPageBreak/>
        <w:tab/>
        <w:t xml:space="preserve">- Пояснительной записки (ф. 0503160) с прилагаемыми формами: </w:t>
      </w:r>
    </w:p>
    <w:p w14:paraId="517B9BC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0E150368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направлениях деятельности (Таблица N 1); </w:t>
      </w:r>
    </w:p>
    <w:p w14:paraId="573070E4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7867B8EF" w14:textId="0187133E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</w:t>
      </w:r>
      <w:proofErr w:type="gramStart"/>
      <w:r>
        <w:t>об исполнителе (ФИО, должность)</w:t>
      </w:r>
      <w:proofErr w:type="gramEnd"/>
      <w:r>
        <w:t xml:space="preserve"> составившем бухгалтерскую отчетность.</w:t>
      </w:r>
    </w:p>
    <w:p w14:paraId="3E2EAE6C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ab/>
        <w:t xml:space="preserve"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 </w:t>
      </w:r>
    </w:p>
    <w:p w14:paraId="1FE639FB" w14:textId="12C981A1" w:rsidR="00FC2CF6" w:rsidRDefault="00FC2CF6" w:rsidP="00741FEE">
      <w:pPr>
        <w:tabs>
          <w:tab w:val="left" w:pos="709"/>
        </w:tabs>
        <w:contextualSpacing/>
        <w:jc w:val="both"/>
      </w:pPr>
      <w:proofErr w:type="gramStart"/>
      <w:r>
        <w:t>информацию</w:t>
      </w:r>
      <w:proofErr w:type="gramEnd"/>
      <w:r>
        <w:t xml:space="preserve">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5E4B165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01A5F93B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>Сведения об исполнении текстовых статей закона (решения) о бюджете (Таблица N 3);</w:t>
      </w:r>
    </w:p>
    <w:p w14:paraId="5757012F" w14:textId="4AFD1344" w:rsidR="00FC2CF6" w:rsidRDefault="005D63B8" w:rsidP="00741FEE">
      <w:pPr>
        <w:tabs>
          <w:tab w:val="left" w:pos="709"/>
        </w:tabs>
        <w:contextualSpacing/>
        <w:jc w:val="both"/>
      </w:pPr>
      <w:r>
        <w:t>С</w:t>
      </w:r>
      <w:r w:rsidR="00FC2CF6">
        <w:t xml:space="preserve">ведения об исполнении бюджета (ф. 0503164); </w:t>
      </w:r>
    </w:p>
    <w:p w14:paraId="3FD53D1F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>Сведения об исполнении мероприятий в рамках целевых программ (ф. 0503166);</w:t>
      </w:r>
    </w:p>
    <w:p w14:paraId="7296936B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целевых иностранных кредитах (ф. 0503167); </w:t>
      </w:r>
    </w:p>
    <w:p w14:paraId="15A262D0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11B5919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</w:p>
    <w:p w14:paraId="7DA01BE2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</w:p>
    <w:p w14:paraId="025AA3D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движении нефинансовых активов (ф. 0503168); </w:t>
      </w:r>
    </w:p>
    <w:p w14:paraId="6A4D2B60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2D85F6C4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07589579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6C6AF562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об изменении остатков валюты баланса (ф. 0503173); </w:t>
      </w:r>
    </w:p>
    <w:p w14:paraId="5E5493C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6DB7328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281B60E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об остатках денежных средств на счетах получателя бюджетных средств (ф. 0503178); </w:t>
      </w:r>
    </w:p>
    <w:p w14:paraId="3D62614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023BB4D2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47949AB4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Причины увеличения просроченной задолженности (Таблица N 15); </w:t>
      </w:r>
    </w:p>
    <w:p w14:paraId="2AFFD0FF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33019CC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lastRenderedPageBreak/>
        <w:tab/>
        <w:t xml:space="preserve">Раздел 5 "Прочие вопросы деятельности субъекта бюджетной отчетности", включающий: </w:t>
      </w:r>
    </w:p>
    <w:p w14:paraId="5FE96054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17215A06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 проведении инвентаризаций (Таблица N 6); </w:t>
      </w:r>
    </w:p>
    <w:p w14:paraId="7587540B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63B02F37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79104FAE" w14:textId="77777777" w:rsidR="00FC2CF6" w:rsidRDefault="00FC2CF6" w:rsidP="00741FEE">
      <w:pPr>
        <w:tabs>
          <w:tab w:val="left" w:pos="709"/>
        </w:tabs>
        <w:contextualSpacing/>
        <w:jc w:val="both"/>
      </w:pPr>
      <w:r>
        <w:t xml:space="preserve"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01CDCC56" w14:textId="77777777" w:rsidR="00FC2CF6" w:rsidRPr="00103E9E" w:rsidRDefault="00FC2CF6" w:rsidP="00741FE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Кроме того, представлены для проверки следующие документы:</w:t>
      </w:r>
    </w:p>
    <w:p w14:paraId="4F24B81D" w14:textId="77777777" w:rsidR="00FC2CF6" w:rsidRPr="00103E9E" w:rsidRDefault="00FC2CF6" w:rsidP="00741FE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смета</w:t>
      </w:r>
      <w:r w:rsidRPr="00103E9E">
        <w:rPr>
          <w:color w:val="000000"/>
        </w:rPr>
        <w:t xml:space="preserve"> на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год;</w:t>
      </w:r>
    </w:p>
    <w:p w14:paraId="4EB80535" w14:textId="77777777" w:rsidR="00FC2CF6" w:rsidRPr="00103E9E" w:rsidRDefault="00FC2CF6" w:rsidP="00741FE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Оборотно-сальдовая ведомость за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год.</w:t>
      </w:r>
    </w:p>
    <w:p w14:paraId="17EB8904" w14:textId="419EA184" w:rsidR="00FC2CF6" w:rsidRPr="00103E9E" w:rsidRDefault="00FC2CF6" w:rsidP="00BC11BB">
      <w:pPr>
        <w:pStyle w:val="formattext"/>
        <w:spacing w:before="0" w:beforeAutospacing="0" w:after="0" w:afterAutospacing="0"/>
        <w:ind w:firstLine="708"/>
        <w:jc w:val="both"/>
      </w:pPr>
      <w:r w:rsidRPr="00103E9E">
        <w:t xml:space="preserve">В соответствии с п. 8 Инструкции № 191н, </w:t>
      </w:r>
      <w:r w:rsidR="00BC11BB">
        <w:t>в</w:t>
      </w:r>
      <w:r w:rsidRPr="00103E9E">
        <w:t xml:space="preserve"> пояснительной записке перечислены формы, не имеющие числовых значений, а именно формы: </w:t>
      </w:r>
      <w:r w:rsidR="00727085">
        <w:t xml:space="preserve">0503125, </w:t>
      </w:r>
      <w:r>
        <w:t>0503166, 0506167</w:t>
      </w:r>
      <w:r w:rsidRPr="00103E9E">
        <w:t xml:space="preserve">, 0503171, 0503172, 0503173, </w:t>
      </w:r>
      <w:r>
        <w:t xml:space="preserve">0503174, 0503175, </w:t>
      </w:r>
      <w:r w:rsidRPr="00103E9E">
        <w:t>0503178, 0503184, 0503190,</w:t>
      </w:r>
      <w:r>
        <w:t xml:space="preserve"> 0503191, 0503192, 0503193, </w:t>
      </w:r>
      <w:r w:rsidRPr="00103E9E">
        <w:t>0503296</w:t>
      </w:r>
      <w:r w:rsidR="009F0E72">
        <w:t>.</w:t>
      </w:r>
    </w:p>
    <w:p w14:paraId="41F40D5C" w14:textId="77777777" w:rsidR="00FC2CF6" w:rsidRPr="00103E9E" w:rsidRDefault="00FC2CF6" w:rsidP="00741FEE">
      <w:pPr>
        <w:ind w:firstLine="708"/>
        <w:contextualSpacing/>
        <w:jc w:val="both"/>
      </w:pPr>
      <w:r w:rsidRPr="00103E9E">
        <w:t>Отчетность представлена на бумажном носителе, сброшюрована, имеет оглавление и сопроводительное письмо.</w:t>
      </w:r>
    </w:p>
    <w:p w14:paraId="4AB15105" w14:textId="5D1CFC3D" w:rsidR="00FC2CF6" w:rsidRPr="00103E9E" w:rsidRDefault="00FC2CF6" w:rsidP="00741FEE">
      <w:pPr>
        <w:ind w:firstLine="708"/>
        <w:jc w:val="both"/>
      </w:pPr>
      <w:r w:rsidRPr="00103E9E">
        <w:t>Формы бюджетной отчетности подписаны Председателем</w:t>
      </w:r>
      <w:r w:rsidR="00C523A3">
        <w:t xml:space="preserve"> контрольно-счетной палаты, должность главного бухгалтера отсутствует в штатном расписании</w:t>
      </w:r>
      <w:r w:rsidRPr="00103E9E">
        <w:t>.</w:t>
      </w:r>
    </w:p>
    <w:p w14:paraId="0F7E1B6A" w14:textId="0C3F0263" w:rsidR="00FC2CF6" w:rsidRPr="00103E9E" w:rsidRDefault="00FC2CF6" w:rsidP="00741FEE">
      <w:pPr>
        <w:ind w:firstLine="708"/>
        <w:jc w:val="both"/>
      </w:pPr>
      <w:r w:rsidRPr="00103E9E">
        <w:t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ко</w:t>
      </w:r>
      <w:r w:rsidR="00B8060B">
        <w:t>нтрольно-счетной палатой</w:t>
      </w:r>
      <w:r w:rsidRPr="00103E9E">
        <w:t xml:space="preserve"> Егорьевского района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73EE68E1" w14:textId="77777777" w:rsidR="00FC2CF6" w:rsidRPr="00103E9E" w:rsidRDefault="00FC2CF6" w:rsidP="00741FEE">
      <w:pPr>
        <w:ind w:firstLine="708"/>
        <w:jc w:val="both"/>
      </w:pPr>
      <w:r w:rsidRPr="00103E9E">
        <w:t>В результате проведенного анализа представленных форм бюджетной отчетности установлено следующее:</w:t>
      </w:r>
    </w:p>
    <w:p w14:paraId="1C3A627F" w14:textId="77777777" w:rsidR="00FC2CF6" w:rsidRPr="00103E9E" w:rsidRDefault="00FC2CF6" w:rsidP="00741FEE">
      <w:pPr>
        <w:ind w:firstLine="708"/>
        <w:jc w:val="both"/>
      </w:pPr>
      <w:r w:rsidRPr="00103E9E">
        <w:t>-</w:t>
      </w:r>
      <w:r w:rsidRPr="00103E9E">
        <w:rPr>
          <w:b/>
        </w:rPr>
        <w:t xml:space="preserve"> </w:t>
      </w:r>
      <w:r w:rsidRPr="00103E9E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06E16534" w14:textId="77777777" w:rsidR="00FC2CF6" w:rsidRPr="00103E9E" w:rsidRDefault="00FC2CF6" w:rsidP="00741FEE">
      <w:pPr>
        <w:ind w:firstLine="708"/>
        <w:jc w:val="both"/>
      </w:pPr>
      <w:r w:rsidRPr="00103E9E">
        <w:rPr>
          <w:b/>
          <w:bCs/>
        </w:rPr>
        <w:t xml:space="preserve">- </w:t>
      </w:r>
      <w:r w:rsidRPr="00103E9E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94293B">
          <w:rPr>
            <w:rStyle w:val="a6"/>
            <w:color w:val="auto"/>
            <w:u w:val="none"/>
          </w:rPr>
          <w:t>ф.0503110</w:t>
        </w:r>
      </w:hyperlink>
      <w:r w:rsidRPr="00103E9E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0FF41ECF" w14:textId="77777777" w:rsidR="00FC2CF6" w:rsidRPr="00103E9E" w:rsidRDefault="00FC2CF6" w:rsidP="00741FEE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234EB767" w14:textId="77777777" w:rsidR="00FC2CF6" w:rsidRPr="00103E9E" w:rsidRDefault="00FC2CF6" w:rsidP="00741FEE">
      <w:pPr>
        <w:jc w:val="both"/>
      </w:pPr>
      <w:r w:rsidRPr="00103E9E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</w:t>
      </w:r>
      <w:r w:rsidRPr="00103E9E">
        <w:lastRenderedPageBreak/>
        <w:t>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103E9E">
        <w:rPr>
          <w:color w:val="000000" w:themeColor="text1"/>
        </w:rPr>
        <w:t>;</w:t>
      </w:r>
    </w:p>
    <w:p w14:paraId="1DDEB9D8" w14:textId="77777777" w:rsidR="00FC2CF6" w:rsidRPr="00103E9E" w:rsidRDefault="00FC2CF6" w:rsidP="00741FEE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048C5BA1" w14:textId="77777777" w:rsidR="00FC2CF6" w:rsidRPr="00103E9E" w:rsidRDefault="00FC2CF6" w:rsidP="00741FEE">
      <w:pPr>
        <w:jc w:val="both"/>
      </w:pPr>
      <w:r w:rsidRPr="00103E9E"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4E491CDB" w14:textId="77777777" w:rsidR="000A3FD2" w:rsidRPr="00497A64" w:rsidRDefault="000A3FD2" w:rsidP="00FC2CF6">
      <w:pPr>
        <w:autoSpaceDE w:val="0"/>
        <w:autoSpaceDN w:val="0"/>
        <w:adjustRightInd w:val="0"/>
        <w:jc w:val="both"/>
      </w:pPr>
    </w:p>
    <w:p w14:paraId="65E4D047" w14:textId="70EC42C5" w:rsidR="000A3FD2" w:rsidRPr="00497A64" w:rsidRDefault="000A3FD2" w:rsidP="000A3FD2">
      <w:pPr>
        <w:autoSpaceDE w:val="0"/>
        <w:autoSpaceDN w:val="0"/>
        <w:adjustRightInd w:val="0"/>
        <w:jc w:val="center"/>
        <w:rPr>
          <w:b/>
        </w:rPr>
      </w:pPr>
      <w:r w:rsidRPr="00497A64">
        <w:rPr>
          <w:b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2F1C720F" w14:textId="77777777" w:rsidR="00FB5AE6" w:rsidRDefault="00FB5AE6" w:rsidP="00FB5AE6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</w:p>
    <w:p w14:paraId="69FC37BF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103E9E">
          <w:rPr>
            <w:rStyle w:val="a6"/>
            <w:b/>
            <w:color w:val="auto"/>
            <w:u w:val="none"/>
          </w:rPr>
          <w:t>ф. 0503110</w:t>
        </w:r>
      </w:hyperlink>
      <w:r w:rsidRPr="00103E9E">
        <w:rPr>
          <w:b/>
        </w:rPr>
        <w:t xml:space="preserve">). </w:t>
      </w:r>
      <w:r w:rsidRPr="00103E9E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0BF38AEF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103E9E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>
        <w:t>4</w:t>
      </w:r>
      <w:r w:rsidRPr="00103E9E"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 </w:t>
      </w:r>
    </w:p>
    <w:p w14:paraId="19259F8F" w14:textId="77777777" w:rsidR="00DA53B1" w:rsidRPr="00103E9E" w:rsidRDefault="00DA53B1" w:rsidP="00DA53B1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103E9E">
        <w:rPr>
          <w:b/>
        </w:rPr>
        <w:t xml:space="preserve"> </w:t>
      </w:r>
      <w:r w:rsidRPr="00103E9E">
        <w:rPr>
          <w:b/>
        </w:rPr>
        <w:tab/>
        <w:t>Отчет о финансовых результатах (ф. 0503121).</w:t>
      </w:r>
      <w:r w:rsidRPr="00103E9E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5366F548" w14:textId="77777777" w:rsidR="00DA53B1" w:rsidRPr="00103E9E" w:rsidRDefault="00DA53B1" w:rsidP="00DA53B1">
      <w:pPr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2FDCBE2C" w14:textId="77777777" w:rsidR="00DA53B1" w:rsidRPr="00103E9E" w:rsidRDefault="00DA53B1" w:rsidP="00DA53B1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427870DB" w14:textId="75E78CBD" w:rsidR="00DA53B1" w:rsidRDefault="00DA53B1" w:rsidP="00DA53B1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103E9E">
        <w:tab/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>
        <w:t>4</w:t>
      </w:r>
      <w:r w:rsidRPr="00103E9E">
        <w:t xml:space="preserve"> г. в разрезе доходов в общей сумме </w:t>
      </w:r>
      <w:r w:rsidR="002849F6">
        <w:t>0,00</w:t>
      </w:r>
      <w:r w:rsidRPr="00103E9E">
        <w:t xml:space="preserve"> рублей, расходов в общей сумме </w:t>
      </w:r>
      <w:r w:rsidR="00FB1042">
        <w:t>1 130 672,14</w:t>
      </w:r>
      <w:r w:rsidRPr="00103E9E">
        <w:t xml:space="preserve"> рублей. Чистый операционный результат за 202</w:t>
      </w:r>
      <w:r>
        <w:t>3</w:t>
      </w:r>
      <w:r w:rsidRPr="00103E9E">
        <w:t xml:space="preserve"> год составил </w:t>
      </w:r>
      <w:r>
        <w:t xml:space="preserve">– </w:t>
      </w:r>
      <w:r w:rsidR="00FB1042">
        <w:t>1 130 672,14</w:t>
      </w:r>
      <w:r w:rsidRPr="00103E9E">
        <w:t xml:space="preserve"> рублей, со знаком </w:t>
      </w:r>
      <w:proofErr w:type="gramStart"/>
      <w:r w:rsidRPr="00103E9E">
        <w:t>« минус</w:t>
      </w:r>
      <w:proofErr w:type="gramEnd"/>
      <w:r w:rsidRPr="00103E9E">
        <w:t xml:space="preserve"> ».</w:t>
      </w:r>
    </w:p>
    <w:p w14:paraId="218E575B" w14:textId="77777777" w:rsidR="00DA53B1" w:rsidRPr="00CF5F41" w:rsidRDefault="00DA53B1" w:rsidP="00DA53B1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103E9E">
        <w:t xml:space="preserve">  </w:t>
      </w:r>
      <w:r w:rsidRPr="00103E9E">
        <w:cr/>
      </w:r>
      <w:r w:rsidRPr="00CF5F41"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0"/>
        <w:gridCol w:w="3125"/>
      </w:tblGrid>
      <w:tr w:rsidR="00DA53B1" w14:paraId="162868EB" w14:textId="77777777" w:rsidTr="00741FEE">
        <w:tc>
          <w:tcPr>
            <w:tcW w:w="1384" w:type="dxa"/>
          </w:tcPr>
          <w:p w14:paraId="6CB9F0B5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№ п/п</w:t>
            </w:r>
          </w:p>
        </w:tc>
        <w:tc>
          <w:tcPr>
            <w:tcW w:w="4996" w:type="dxa"/>
          </w:tcPr>
          <w:p w14:paraId="345447DD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 xml:space="preserve">Показатель </w:t>
            </w:r>
          </w:p>
        </w:tc>
        <w:tc>
          <w:tcPr>
            <w:tcW w:w="3191" w:type="dxa"/>
          </w:tcPr>
          <w:p w14:paraId="2055C9B8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 xml:space="preserve">Бюджетная деятельность </w:t>
            </w:r>
          </w:p>
        </w:tc>
      </w:tr>
      <w:tr w:rsidR="00DA53B1" w14:paraId="6AF41978" w14:textId="77777777" w:rsidTr="00741FEE">
        <w:tc>
          <w:tcPr>
            <w:tcW w:w="1384" w:type="dxa"/>
          </w:tcPr>
          <w:p w14:paraId="274DC761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1</w:t>
            </w:r>
          </w:p>
        </w:tc>
        <w:tc>
          <w:tcPr>
            <w:tcW w:w="4996" w:type="dxa"/>
          </w:tcPr>
          <w:p w14:paraId="6DE69D11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Доходы</w:t>
            </w:r>
          </w:p>
        </w:tc>
        <w:tc>
          <w:tcPr>
            <w:tcW w:w="3191" w:type="dxa"/>
          </w:tcPr>
          <w:p w14:paraId="4324844B" w14:textId="737420EA" w:rsidR="00DA53B1" w:rsidRPr="00F66ADA" w:rsidRDefault="002849F6" w:rsidP="00741FEE">
            <w:pPr>
              <w:contextualSpacing/>
              <w:jc w:val="both"/>
            </w:pPr>
            <w:r>
              <w:t>0,00</w:t>
            </w:r>
          </w:p>
        </w:tc>
      </w:tr>
      <w:tr w:rsidR="00DA53B1" w14:paraId="74F59049" w14:textId="77777777" w:rsidTr="00741FEE">
        <w:tc>
          <w:tcPr>
            <w:tcW w:w="1384" w:type="dxa"/>
          </w:tcPr>
          <w:p w14:paraId="318203D6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2</w:t>
            </w:r>
          </w:p>
        </w:tc>
        <w:tc>
          <w:tcPr>
            <w:tcW w:w="4996" w:type="dxa"/>
          </w:tcPr>
          <w:p w14:paraId="63D9EA4D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Расходы</w:t>
            </w:r>
          </w:p>
        </w:tc>
        <w:tc>
          <w:tcPr>
            <w:tcW w:w="3191" w:type="dxa"/>
          </w:tcPr>
          <w:p w14:paraId="39FE89B4" w14:textId="0F049823" w:rsidR="00DA53B1" w:rsidRPr="003033D8" w:rsidRDefault="00FB1042" w:rsidP="00741FEE">
            <w:pPr>
              <w:contextualSpacing/>
              <w:jc w:val="both"/>
            </w:pPr>
            <w:r>
              <w:t>1 130 672,14</w:t>
            </w:r>
          </w:p>
        </w:tc>
      </w:tr>
      <w:tr w:rsidR="00DA53B1" w14:paraId="5B5C26C0" w14:textId="77777777" w:rsidTr="00741FEE">
        <w:tc>
          <w:tcPr>
            <w:tcW w:w="1384" w:type="dxa"/>
          </w:tcPr>
          <w:p w14:paraId="0BAD2ED1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3</w:t>
            </w:r>
          </w:p>
        </w:tc>
        <w:tc>
          <w:tcPr>
            <w:tcW w:w="4996" w:type="dxa"/>
          </w:tcPr>
          <w:p w14:paraId="0DE9C9CB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CEF1742" w14:textId="515F6E52" w:rsidR="00DA53B1" w:rsidRPr="003033D8" w:rsidRDefault="00DA53B1" w:rsidP="00741FEE">
            <w:pPr>
              <w:contextualSpacing/>
              <w:jc w:val="both"/>
            </w:pPr>
            <w:r w:rsidRPr="003033D8">
              <w:t>-</w:t>
            </w:r>
            <w:r>
              <w:t xml:space="preserve"> </w:t>
            </w:r>
            <w:r w:rsidR="00FB1042">
              <w:t>1 130 672,14</w:t>
            </w:r>
          </w:p>
        </w:tc>
      </w:tr>
      <w:tr w:rsidR="00DA53B1" w14:paraId="300002D5" w14:textId="77777777" w:rsidTr="00741FEE">
        <w:tc>
          <w:tcPr>
            <w:tcW w:w="1384" w:type="dxa"/>
          </w:tcPr>
          <w:p w14:paraId="7947838A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4</w:t>
            </w:r>
          </w:p>
        </w:tc>
        <w:tc>
          <w:tcPr>
            <w:tcW w:w="4996" w:type="dxa"/>
          </w:tcPr>
          <w:p w14:paraId="478E45A2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38124579" w14:textId="3783289D" w:rsidR="00DA53B1" w:rsidRPr="003033D8" w:rsidRDefault="00595C75" w:rsidP="00741FEE">
            <w:pPr>
              <w:contextualSpacing/>
              <w:jc w:val="both"/>
            </w:pPr>
            <w:r>
              <w:t>- 285,90</w:t>
            </w:r>
          </w:p>
        </w:tc>
      </w:tr>
      <w:tr w:rsidR="00DA53B1" w14:paraId="0374F12C" w14:textId="77777777" w:rsidTr="00741FEE">
        <w:tc>
          <w:tcPr>
            <w:tcW w:w="1384" w:type="dxa"/>
          </w:tcPr>
          <w:p w14:paraId="0B7970FC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5</w:t>
            </w:r>
          </w:p>
        </w:tc>
        <w:tc>
          <w:tcPr>
            <w:tcW w:w="4996" w:type="dxa"/>
          </w:tcPr>
          <w:p w14:paraId="4CF03196" w14:textId="77777777" w:rsidR="00DA53B1" w:rsidRPr="00F66ADA" w:rsidRDefault="00DA53B1" w:rsidP="00741FEE">
            <w:pPr>
              <w:contextualSpacing/>
              <w:jc w:val="both"/>
            </w:pPr>
            <w:r w:rsidRPr="00F66ADA">
              <w:t>Операции с финансовыми активами</w:t>
            </w:r>
          </w:p>
        </w:tc>
        <w:tc>
          <w:tcPr>
            <w:tcW w:w="3191" w:type="dxa"/>
          </w:tcPr>
          <w:p w14:paraId="35AB309E" w14:textId="40D9D316" w:rsidR="00DA53B1" w:rsidRPr="003033D8" w:rsidRDefault="00595C75" w:rsidP="00741FEE">
            <w:pPr>
              <w:contextualSpacing/>
              <w:jc w:val="both"/>
            </w:pPr>
            <w:r>
              <w:t>- 1 130 386,24</w:t>
            </w:r>
          </w:p>
        </w:tc>
      </w:tr>
    </w:tbl>
    <w:p w14:paraId="2A6E33A0" w14:textId="051A87AA" w:rsidR="00DA53B1" w:rsidRPr="00103E9E" w:rsidRDefault="00DA53B1" w:rsidP="00DA53B1">
      <w:pPr>
        <w:ind w:firstLine="708"/>
        <w:contextualSpacing/>
        <w:jc w:val="both"/>
      </w:pPr>
      <w:proofErr w:type="gramStart"/>
      <w:r w:rsidRPr="00103E9E">
        <w:t>Согласно Отчету (ф.0503121)</w:t>
      </w:r>
      <w:proofErr w:type="gramEnd"/>
      <w:r w:rsidRPr="00103E9E">
        <w:t xml:space="preserve"> фактические расходы </w:t>
      </w:r>
      <w:r w:rsidRPr="00103E9E">
        <w:rPr>
          <w:color w:val="000000" w:themeColor="text1"/>
        </w:rPr>
        <w:t xml:space="preserve">составляют </w:t>
      </w:r>
      <w:r w:rsidR="00AC1E77">
        <w:rPr>
          <w:color w:val="000000" w:themeColor="text1"/>
        </w:rPr>
        <w:t>1 130 672,14</w:t>
      </w:r>
      <w:r w:rsidRPr="00103E9E">
        <w:t xml:space="preserve"> </w:t>
      </w:r>
      <w:r w:rsidRPr="00103E9E">
        <w:rPr>
          <w:color w:val="000000" w:themeColor="text1"/>
        </w:rPr>
        <w:t xml:space="preserve">рублей.  </w:t>
      </w:r>
    </w:p>
    <w:p w14:paraId="60BF575E" w14:textId="77777777" w:rsidR="00DA53B1" w:rsidRPr="00103E9E" w:rsidRDefault="00DA53B1" w:rsidP="00DA53B1">
      <w:pPr>
        <w:tabs>
          <w:tab w:val="left" w:pos="567"/>
          <w:tab w:val="left" w:pos="709"/>
        </w:tabs>
        <w:contextualSpacing/>
        <w:jc w:val="both"/>
      </w:pPr>
      <w:r w:rsidRPr="00103E9E">
        <w:lastRenderedPageBreak/>
        <w:tab/>
        <w:t>При проверке контрольных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отклонений не установлено.</w:t>
      </w:r>
    </w:p>
    <w:p w14:paraId="27878D9D" w14:textId="77777777" w:rsidR="00DA53B1" w:rsidRPr="00103E9E" w:rsidRDefault="00DA53B1" w:rsidP="00DA53B1">
      <w:pPr>
        <w:autoSpaceDE w:val="0"/>
        <w:autoSpaceDN w:val="0"/>
        <w:adjustRightInd w:val="0"/>
        <w:ind w:firstLine="709"/>
        <w:jc w:val="both"/>
      </w:pPr>
      <w:r w:rsidRPr="00103E9E">
        <w:rPr>
          <w:b/>
        </w:rPr>
        <w:t xml:space="preserve">Отчет о движении денежных средств (ф. 0503123). </w:t>
      </w:r>
      <w:r w:rsidRPr="00103E9E">
        <w:t>Отчет содержит данные о движении денежных средств</w:t>
      </w:r>
      <w:r w:rsidRPr="00103E9E">
        <w:rPr>
          <w:b/>
        </w:rPr>
        <w:t xml:space="preserve"> </w:t>
      </w:r>
      <w:r w:rsidRPr="00103E9E">
        <w:t>в разрезе кодов КОСГУ по состоянию на 1 января года, следующего за отчетным.</w:t>
      </w:r>
    </w:p>
    <w:p w14:paraId="1650790F" w14:textId="77777777" w:rsidR="00DA53B1" w:rsidRPr="00103E9E" w:rsidRDefault="00DA53B1" w:rsidP="00DA53B1">
      <w:pPr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в разрезе данных за отчетный период (графа 4) и данных за аналогичный период прошлого финансового года (графа 5).</w:t>
      </w:r>
    </w:p>
    <w:p w14:paraId="2840F0B1" w14:textId="2E1C3178" w:rsidR="00DA53B1" w:rsidRPr="00103E9E" w:rsidRDefault="00DA53B1" w:rsidP="00DA53B1">
      <w:pPr>
        <w:autoSpaceDE w:val="0"/>
        <w:autoSpaceDN w:val="0"/>
        <w:adjustRightInd w:val="0"/>
        <w:ind w:firstLine="709"/>
        <w:jc w:val="both"/>
      </w:pPr>
      <w:r w:rsidRPr="00103E9E">
        <w:t>В соответствии с решения Егорьевского районного Совета депутатов Алтайского края «О бюджете муниципального образования Егорьевский район Алтайского края на 2022 год» от 28.12.202</w:t>
      </w:r>
      <w:r>
        <w:t>2</w:t>
      </w:r>
      <w:r w:rsidRPr="00103E9E">
        <w:t xml:space="preserve"> № 1</w:t>
      </w:r>
      <w:r>
        <w:t>13</w:t>
      </w:r>
      <w:r w:rsidRPr="00103E9E">
        <w:t>, ко</w:t>
      </w:r>
      <w:r w:rsidR="00AC1E77">
        <w:t>нтрольно-счетная палата</w:t>
      </w:r>
      <w:r w:rsidRPr="00103E9E">
        <w:t xml:space="preserve"> Егорьевского района является главным распорядителем бюджетных средств, в связи с этим в Отчете о движении денежных средств (ф. 0503123) отсутствуют данные по кассовым поступлениям. В </w:t>
      </w:r>
      <w:r w:rsidR="007C2155">
        <w:t>о</w:t>
      </w:r>
      <w:r w:rsidRPr="00103E9E">
        <w:t xml:space="preserve">тчете отражены данные по кассовым выбытиям по счетам бюджетов в разрезе кодов классификации операций «Выбытия» и в разделе «Изменения остатков средств» отражены расходы бюджета в размере </w:t>
      </w:r>
      <w:r w:rsidR="007C2155">
        <w:t>1 132 359,65</w:t>
      </w:r>
      <w:r w:rsidRPr="00103E9E">
        <w:t xml:space="preserve"> рублей. Сведения, указанные в отчете, 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 </w:t>
      </w:r>
    </w:p>
    <w:p w14:paraId="5E5E91A3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 w:rsidRPr="00103E9E">
        <w:rPr>
          <w:b/>
        </w:rPr>
        <w:tab/>
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503127). </w:t>
      </w:r>
      <w:r w:rsidRPr="00103E9E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Pr="00103E9E">
        <w:rPr>
          <w:rFonts w:eastAsia="Calibri"/>
        </w:rPr>
        <w:t xml:space="preserve"> следующего за отчетным и </w:t>
      </w:r>
      <w:r w:rsidRPr="00103E9E">
        <w:t>характеризует деятельность органа.</w:t>
      </w:r>
    </w:p>
    <w:p w14:paraId="6D060429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 w:rsidRPr="00103E9E">
        <w:tab/>
        <w:t>Доходы бюджета комитета по финансам администрации Егорьевского района в 202</w:t>
      </w:r>
      <w:r>
        <w:t>3</w:t>
      </w:r>
      <w:r w:rsidRPr="00103E9E">
        <w:t xml:space="preserve"> году составили 0,00 рублей.</w:t>
      </w:r>
    </w:p>
    <w:p w14:paraId="1ADA92F5" w14:textId="102BE429" w:rsidR="00DA53B1" w:rsidRPr="00103E9E" w:rsidRDefault="00DA53B1" w:rsidP="00DA53B1">
      <w:pPr>
        <w:jc w:val="both"/>
      </w:pPr>
      <w:r w:rsidRPr="00103E9E">
        <w:tab/>
        <w:t>Решением Егорьевского районного Совета депутатов Алтайского края от 28.12.202</w:t>
      </w:r>
      <w:r>
        <w:t>2</w:t>
      </w:r>
      <w:r w:rsidRPr="00103E9E">
        <w:t xml:space="preserve"> № 1</w:t>
      </w:r>
      <w:r>
        <w:t>1</w:t>
      </w:r>
      <w:r w:rsidRPr="00103E9E">
        <w:t>3 «О бюджете муниципального образования Егорьевский район Алтайского края на 202</w:t>
      </w:r>
      <w:r>
        <w:t>3</w:t>
      </w:r>
      <w:r w:rsidRPr="00103E9E">
        <w:t xml:space="preserve"> год» комитету по финансам администрации Егорьевского района были утверждены бюджетные ассигнования по расходам на 202</w:t>
      </w:r>
      <w:r>
        <w:t>3</w:t>
      </w:r>
      <w:r w:rsidRPr="00103E9E">
        <w:t xml:space="preserve"> год в размере </w:t>
      </w:r>
      <w:r w:rsidR="00FB63A6">
        <w:t>1 197 8</w:t>
      </w:r>
      <w:r w:rsidRPr="00103E9E">
        <w:rPr>
          <w:bCs/>
        </w:rPr>
        <w:t>00,00</w:t>
      </w:r>
      <w:r w:rsidRPr="00103E9E">
        <w:rPr>
          <w:b/>
          <w:bCs/>
        </w:rPr>
        <w:t xml:space="preserve"> </w:t>
      </w:r>
      <w:r w:rsidRPr="00103E9E">
        <w:t>тыс. рублей. В результате внесенных изменений, по состоянию на 31.12.202</w:t>
      </w:r>
      <w:r>
        <w:t>3</w:t>
      </w:r>
      <w:r w:rsidRPr="00103E9E">
        <w:t xml:space="preserve"> года, </w:t>
      </w:r>
      <w:r w:rsidR="00FB63A6">
        <w:t>контрольно-счетной палате</w:t>
      </w:r>
      <w:r w:rsidRPr="00103E9E">
        <w:t xml:space="preserve"> Егорьевского района доведены бюджетные ассигнования в размере </w:t>
      </w:r>
      <w:r w:rsidR="009511FB">
        <w:t>1 197</w:t>
      </w:r>
      <w:r>
        <w:rPr>
          <w:bCs/>
        </w:rPr>
        <w:t xml:space="preserve"> 800</w:t>
      </w:r>
      <w:r w:rsidRPr="00103E9E">
        <w:rPr>
          <w:bCs/>
        </w:rPr>
        <w:t xml:space="preserve">,00 </w:t>
      </w:r>
      <w:r w:rsidRPr="00103E9E">
        <w:t xml:space="preserve">тыс. рублей, что соответствует решению Егорьевского районного Совета депутатов Алтайского края от </w:t>
      </w:r>
      <w:r>
        <w:t>25</w:t>
      </w:r>
      <w:r w:rsidRPr="00E076A4">
        <w:t>.1</w:t>
      </w:r>
      <w:r>
        <w:t>2</w:t>
      </w:r>
      <w:r w:rsidRPr="00E076A4">
        <w:t>.202</w:t>
      </w:r>
      <w:r>
        <w:t>3</w:t>
      </w:r>
      <w:r w:rsidRPr="00E076A4">
        <w:t xml:space="preserve"> № </w:t>
      </w:r>
      <w:r>
        <w:t>10</w:t>
      </w:r>
      <w:r w:rsidRPr="00E076A4">
        <w:t>6 «О внесении изменений и дополнений в решение Егорьевского районного Совета депутатов Алтайского края от 28.12.202</w:t>
      </w:r>
      <w:r>
        <w:t>2</w:t>
      </w:r>
      <w:r w:rsidRPr="00E076A4">
        <w:t xml:space="preserve"> № 1</w:t>
      </w:r>
      <w:r>
        <w:t>1</w:t>
      </w:r>
      <w:r w:rsidRPr="00E076A4">
        <w:t>3 «О бюджете муниципального образования Егорьевский район Алтайского края на 202</w:t>
      </w:r>
      <w:r>
        <w:t>3</w:t>
      </w:r>
      <w:r w:rsidRPr="00E076A4">
        <w:t xml:space="preserve"> год».</w:t>
      </w:r>
    </w:p>
    <w:p w14:paraId="4E44706F" w14:textId="77777777" w:rsidR="00DA53B1" w:rsidRPr="00103E9E" w:rsidRDefault="00DA53B1" w:rsidP="00DA53B1">
      <w:pPr>
        <w:ind w:firstLine="708"/>
        <w:jc w:val="both"/>
      </w:pPr>
      <w:r w:rsidRPr="00103E9E">
        <w:t>Исполнение расходной части в разрезе подразделов бюджетной классификации в 202</w:t>
      </w:r>
      <w:r>
        <w:t>3</w:t>
      </w:r>
      <w:r w:rsidRPr="00103E9E">
        <w:t xml:space="preserve"> году представлено в таблице № 2:</w:t>
      </w:r>
    </w:p>
    <w:p w14:paraId="329A2B57" w14:textId="77777777" w:rsidR="00DA53B1" w:rsidRDefault="00DA53B1" w:rsidP="00DA53B1">
      <w:pPr>
        <w:tabs>
          <w:tab w:val="left" w:pos="709"/>
        </w:tabs>
        <w:contextualSpacing/>
        <w:jc w:val="both"/>
      </w:pPr>
    </w:p>
    <w:p w14:paraId="5F7D7A5A" w14:textId="77777777" w:rsidR="00DA53B1" w:rsidRDefault="00DA53B1" w:rsidP="00DA53B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>Таблица № 2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DA53B1" w14:paraId="51A1F20D" w14:textId="77777777" w:rsidTr="00741FEE">
        <w:tc>
          <w:tcPr>
            <w:tcW w:w="2376" w:type="dxa"/>
          </w:tcPr>
          <w:p w14:paraId="6BCBAF0D" w14:textId="77777777" w:rsidR="00DA53B1" w:rsidRPr="00DC4A02" w:rsidRDefault="00DA53B1" w:rsidP="00741FEE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00077632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394E0201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00AFAFCB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6EF7AE2C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E1CD5D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27904613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64DCFFD9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0D500379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DA53B1" w14:paraId="5CD350AC" w14:textId="77777777" w:rsidTr="00741FEE">
        <w:tc>
          <w:tcPr>
            <w:tcW w:w="2376" w:type="dxa"/>
          </w:tcPr>
          <w:p w14:paraId="4CCFC64C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59F728D3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79E610F9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0A2616FF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724CF5E6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0D825A6A" w14:textId="77777777" w:rsidR="00DA53B1" w:rsidRPr="00DC4A02" w:rsidRDefault="00DA53B1" w:rsidP="00741FEE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DA53B1" w14:paraId="07963429" w14:textId="77777777" w:rsidTr="00741FEE">
        <w:tc>
          <w:tcPr>
            <w:tcW w:w="2376" w:type="dxa"/>
            <w:vAlign w:val="center"/>
          </w:tcPr>
          <w:p w14:paraId="31CAD138" w14:textId="77777777" w:rsidR="00DA53B1" w:rsidRPr="00A44660" w:rsidRDefault="00DA53B1" w:rsidP="00741FEE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CC9190D" w14:textId="47BF4CCE" w:rsidR="00DA53B1" w:rsidRPr="00E208D8" w:rsidRDefault="009511FB" w:rsidP="00741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1 197 800,00</w:t>
            </w:r>
          </w:p>
        </w:tc>
        <w:tc>
          <w:tcPr>
            <w:tcW w:w="1276" w:type="dxa"/>
            <w:vAlign w:val="bottom"/>
          </w:tcPr>
          <w:p w14:paraId="59D2DB0B" w14:textId="4A701AC9" w:rsidR="00DA53B1" w:rsidRPr="00E208D8" w:rsidRDefault="009511FB" w:rsidP="00741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</w:t>
            </w:r>
          </w:p>
        </w:tc>
        <w:tc>
          <w:tcPr>
            <w:tcW w:w="1417" w:type="dxa"/>
            <w:vAlign w:val="bottom"/>
          </w:tcPr>
          <w:p w14:paraId="092A0E3D" w14:textId="2713A924" w:rsidR="00DA53B1" w:rsidRPr="00E208D8" w:rsidRDefault="009511FB" w:rsidP="00741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1 132 359,65</w:t>
            </w:r>
          </w:p>
        </w:tc>
        <w:tc>
          <w:tcPr>
            <w:tcW w:w="1276" w:type="dxa"/>
            <w:vAlign w:val="bottom"/>
          </w:tcPr>
          <w:p w14:paraId="2D70FA73" w14:textId="0777F49F" w:rsidR="00DA53B1" w:rsidRPr="00E208D8" w:rsidRDefault="001D25E4" w:rsidP="00741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65 440,35</w:t>
            </w:r>
          </w:p>
        </w:tc>
        <w:tc>
          <w:tcPr>
            <w:tcW w:w="1559" w:type="dxa"/>
            <w:vAlign w:val="bottom"/>
          </w:tcPr>
          <w:p w14:paraId="6244E1C5" w14:textId="2A7D0EE6" w:rsidR="00DA53B1" w:rsidRPr="00E208D8" w:rsidRDefault="00E4732E" w:rsidP="00741F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</w:t>
            </w:r>
          </w:p>
        </w:tc>
      </w:tr>
      <w:tr w:rsidR="001D25E4" w14:paraId="1A709A82" w14:textId="77777777" w:rsidTr="00741FEE">
        <w:tc>
          <w:tcPr>
            <w:tcW w:w="2376" w:type="dxa"/>
            <w:vAlign w:val="center"/>
          </w:tcPr>
          <w:p w14:paraId="285BCA75" w14:textId="77777777" w:rsidR="001D25E4" w:rsidRPr="00A44660" w:rsidRDefault="001D25E4" w:rsidP="001D25E4">
            <w:pPr>
              <w:jc w:val="both"/>
              <w:rPr>
                <w:b/>
              </w:rPr>
            </w:pPr>
            <w:r w:rsidRPr="00A44660">
              <w:rPr>
                <w:rFonts w:ascii="TimesNewRomanPSMT" w:hAnsi="TimesNewRomanPSMT"/>
                <w:b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6472C1DE" w14:textId="69848051" w:rsidR="001D25E4" w:rsidRPr="00E208D8" w:rsidRDefault="001D25E4" w:rsidP="001D25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1 197 800,00</w:t>
            </w:r>
          </w:p>
        </w:tc>
        <w:tc>
          <w:tcPr>
            <w:tcW w:w="1276" w:type="dxa"/>
            <w:vAlign w:val="bottom"/>
          </w:tcPr>
          <w:p w14:paraId="218459E9" w14:textId="1B3B92B2" w:rsidR="001D25E4" w:rsidRPr="00E208D8" w:rsidRDefault="001D25E4" w:rsidP="001D25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</w:t>
            </w:r>
          </w:p>
        </w:tc>
        <w:tc>
          <w:tcPr>
            <w:tcW w:w="1417" w:type="dxa"/>
            <w:vAlign w:val="bottom"/>
          </w:tcPr>
          <w:p w14:paraId="6D7A0793" w14:textId="57778663" w:rsidR="001D25E4" w:rsidRPr="00E208D8" w:rsidRDefault="001D25E4" w:rsidP="001D25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1 132 359,65</w:t>
            </w:r>
          </w:p>
        </w:tc>
        <w:tc>
          <w:tcPr>
            <w:tcW w:w="1276" w:type="dxa"/>
            <w:vAlign w:val="bottom"/>
          </w:tcPr>
          <w:p w14:paraId="7D817AA0" w14:textId="1F6B67FF" w:rsidR="001D25E4" w:rsidRPr="00E208D8" w:rsidRDefault="001D25E4" w:rsidP="001D25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65 440,35</w:t>
            </w:r>
          </w:p>
        </w:tc>
        <w:tc>
          <w:tcPr>
            <w:tcW w:w="1559" w:type="dxa"/>
            <w:vAlign w:val="bottom"/>
          </w:tcPr>
          <w:p w14:paraId="6B4A3F70" w14:textId="22F29512" w:rsidR="001D25E4" w:rsidRPr="00E208D8" w:rsidRDefault="00E4732E" w:rsidP="001D25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</w:t>
            </w:r>
          </w:p>
        </w:tc>
      </w:tr>
      <w:tr w:rsidR="006F5889" w14:paraId="425B5BD7" w14:textId="77777777" w:rsidTr="00741FEE">
        <w:tc>
          <w:tcPr>
            <w:tcW w:w="2376" w:type="dxa"/>
            <w:vAlign w:val="bottom"/>
          </w:tcPr>
          <w:p w14:paraId="6CE43993" w14:textId="77777777" w:rsidR="006F5889" w:rsidRPr="00A44660" w:rsidRDefault="006F5889" w:rsidP="006F5889">
            <w:pPr>
              <w:rPr>
                <w:sz w:val="18"/>
                <w:szCs w:val="18"/>
              </w:rPr>
            </w:pPr>
            <w:r w:rsidRPr="00A44660">
              <w:rPr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bottom"/>
          </w:tcPr>
          <w:p w14:paraId="0A81C021" w14:textId="0263F1E2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1 197 800,00</w:t>
            </w:r>
          </w:p>
        </w:tc>
        <w:tc>
          <w:tcPr>
            <w:tcW w:w="1276" w:type="dxa"/>
            <w:vAlign w:val="bottom"/>
          </w:tcPr>
          <w:p w14:paraId="2EB4720E" w14:textId="5C270EE1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</w:t>
            </w:r>
          </w:p>
        </w:tc>
        <w:tc>
          <w:tcPr>
            <w:tcW w:w="1417" w:type="dxa"/>
            <w:vAlign w:val="bottom"/>
          </w:tcPr>
          <w:p w14:paraId="5B88422D" w14:textId="090C0DFD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1 132 359,65</w:t>
            </w:r>
          </w:p>
        </w:tc>
        <w:tc>
          <w:tcPr>
            <w:tcW w:w="1276" w:type="dxa"/>
            <w:vAlign w:val="bottom"/>
          </w:tcPr>
          <w:p w14:paraId="155F8FF1" w14:textId="34E70E1A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65 440,35</w:t>
            </w:r>
          </w:p>
        </w:tc>
        <w:tc>
          <w:tcPr>
            <w:tcW w:w="1559" w:type="dxa"/>
            <w:vAlign w:val="bottom"/>
          </w:tcPr>
          <w:p w14:paraId="0E21D0FE" w14:textId="35F0E1B4" w:rsidR="006F5889" w:rsidRPr="00E208D8" w:rsidRDefault="00E4732E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</w:t>
            </w:r>
          </w:p>
        </w:tc>
      </w:tr>
      <w:tr w:rsidR="006F5889" w14:paraId="44E33FDA" w14:textId="77777777" w:rsidTr="00741FEE">
        <w:tc>
          <w:tcPr>
            <w:tcW w:w="2376" w:type="dxa"/>
            <w:vAlign w:val="bottom"/>
          </w:tcPr>
          <w:p w14:paraId="45DF3074" w14:textId="77777777" w:rsidR="006F5889" w:rsidRPr="00A44660" w:rsidRDefault="006F5889" w:rsidP="006F5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1418" w:type="dxa"/>
            <w:vAlign w:val="bottom"/>
          </w:tcPr>
          <w:p w14:paraId="1E52BAD1" w14:textId="29085018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1 197 800,00</w:t>
            </w:r>
          </w:p>
        </w:tc>
        <w:tc>
          <w:tcPr>
            <w:tcW w:w="1276" w:type="dxa"/>
            <w:vAlign w:val="bottom"/>
          </w:tcPr>
          <w:p w14:paraId="66D5B43F" w14:textId="6B64FC35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1 197 800,0</w:t>
            </w:r>
          </w:p>
        </w:tc>
        <w:tc>
          <w:tcPr>
            <w:tcW w:w="1417" w:type="dxa"/>
            <w:vAlign w:val="bottom"/>
          </w:tcPr>
          <w:p w14:paraId="2F70CA4D" w14:textId="6CDF3C69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1 132 359,65</w:t>
            </w:r>
          </w:p>
        </w:tc>
        <w:tc>
          <w:tcPr>
            <w:tcW w:w="1276" w:type="dxa"/>
            <w:vAlign w:val="bottom"/>
          </w:tcPr>
          <w:p w14:paraId="150DB7A7" w14:textId="45020727" w:rsidR="006F5889" w:rsidRPr="00E208D8" w:rsidRDefault="006F5889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65 440,35</w:t>
            </w:r>
          </w:p>
        </w:tc>
        <w:tc>
          <w:tcPr>
            <w:tcW w:w="1559" w:type="dxa"/>
            <w:vAlign w:val="bottom"/>
          </w:tcPr>
          <w:p w14:paraId="4A4B46AD" w14:textId="0A7BD687" w:rsidR="006F5889" w:rsidRPr="00E208D8" w:rsidRDefault="00E4732E" w:rsidP="006F5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</w:t>
            </w:r>
          </w:p>
        </w:tc>
      </w:tr>
    </w:tbl>
    <w:p w14:paraId="7637142F" w14:textId="0DD97C7F" w:rsidR="00DA53B1" w:rsidRPr="00103E9E" w:rsidRDefault="00DA53B1" w:rsidP="00DA53B1">
      <w:pPr>
        <w:tabs>
          <w:tab w:val="left" w:pos="709"/>
          <w:tab w:val="left" w:pos="851"/>
        </w:tabs>
        <w:contextualSpacing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03E9E">
        <w:t xml:space="preserve">Бюджетные назначения по расходам, отраженные в размере </w:t>
      </w:r>
      <w:r w:rsidR="00E4732E">
        <w:t>1 197 800,00</w:t>
      </w:r>
      <w:r w:rsidRPr="00103E9E">
        <w:t xml:space="preserve"> рублей, исполнены в размере </w:t>
      </w:r>
      <w:r w:rsidR="00DE0E89">
        <w:t>1 132 359,65</w:t>
      </w:r>
      <w:r w:rsidRPr="00103E9E">
        <w:t xml:space="preserve"> рублей, в пределах утвержденных на 202</w:t>
      </w:r>
      <w:r>
        <w:t>3</w:t>
      </w:r>
      <w:r w:rsidRPr="00103E9E">
        <w:t xml:space="preserve"> год лимитов бюджетных обязательств. Неиспользованные назначения по бюджетным ассигнованиям </w:t>
      </w:r>
      <w:r w:rsidR="00DE0E89">
        <w:t>65 440,35</w:t>
      </w:r>
      <w:r w:rsidRPr="00103E9E">
        <w:t xml:space="preserve"> рублей, по лимитам бюджетных обязательств составили </w:t>
      </w:r>
      <w:r w:rsidR="00DE0E89">
        <w:t xml:space="preserve">65 440,53 </w:t>
      </w:r>
      <w:r w:rsidRPr="00103E9E">
        <w:t xml:space="preserve">рублей. Источники финансирования дефицита бюджета исполнены в сумме </w:t>
      </w:r>
      <w:r w:rsidR="00DE0E89">
        <w:t>1 132 359,65</w:t>
      </w:r>
      <w:r w:rsidRPr="00103E9E">
        <w:t xml:space="preserve"> рублей со знаком «плюс».</w:t>
      </w:r>
    </w:p>
    <w:p w14:paraId="3A0E36B3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 w:rsidRPr="00103E9E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4E5552F5" w14:textId="77777777" w:rsidR="00DA53B1" w:rsidRPr="00103E9E" w:rsidRDefault="00DA53B1" w:rsidP="00DA53B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103E9E">
        <w:rPr>
          <w:b/>
        </w:rPr>
        <w:tab/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103E9E">
        <w:t xml:space="preserve"> </w:t>
      </w:r>
      <w:r w:rsidRPr="00103E9E">
        <w:rPr>
          <w:b/>
        </w:rPr>
        <w:t>(ф.0503130).</w:t>
      </w:r>
      <w:r w:rsidRPr="00103E9E">
        <w:t xml:space="preserve"> </w:t>
      </w:r>
    </w:p>
    <w:p w14:paraId="3A5C6A5B" w14:textId="77777777" w:rsidR="00DA53B1" w:rsidRPr="00103E9E" w:rsidRDefault="00DA53B1" w:rsidP="00DA53B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103E9E">
        <w:tab/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103E9E">
        <w:rPr>
          <w:b/>
        </w:rPr>
        <w:t xml:space="preserve"> </w:t>
      </w:r>
      <w:r w:rsidRPr="00103E9E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Pr="00103E9E">
          <w:t>актива</w:t>
        </w:r>
      </w:hyperlink>
      <w:r w:rsidRPr="00103E9E">
        <w:t xml:space="preserve"> и </w:t>
      </w:r>
      <w:hyperlink r:id="rId17" w:history="1">
        <w:r w:rsidRPr="00103E9E">
          <w:t>пассива</w:t>
        </w:r>
      </w:hyperlink>
      <w:r w:rsidRPr="00103E9E">
        <w:t xml:space="preserve">. </w:t>
      </w:r>
    </w:p>
    <w:p w14:paraId="0668E760" w14:textId="77777777" w:rsidR="00DA53B1" w:rsidRPr="00103E9E" w:rsidRDefault="00DA53B1" w:rsidP="00DA53B1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 xml:space="preserve">В составе Баланса </w:t>
      </w:r>
      <w:hyperlink r:id="rId18" w:history="1">
        <w:r w:rsidRPr="00103E9E">
          <w:t>(ф. 0503130)</w:t>
        </w:r>
      </w:hyperlink>
      <w:r w:rsidRPr="00103E9E">
        <w:t xml:space="preserve"> сформирована Справка о наличии имущества и обязательств на забалансовых счетах. </w:t>
      </w:r>
    </w:p>
    <w:p w14:paraId="0180F7D7" w14:textId="77777777" w:rsidR="00DA53B1" w:rsidRPr="00103E9E" w:rsidRDefault="00DA53B1" w:rsidP="00DA53B1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>В соответствии с пунктом 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191-н бюджетная отчетность составляется:</w:t>
      </w:r>
    </w:p>
    <w:p w14:paraId="4BB09BCB" w14:textId="77777777" w:rsidR="00DA53B1" w:rsidRPr="00103E9E" w:rsidRDefault="00DA53B1" w:rsidP="00DA53B1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оборотно-сальдовой ведомостью за 202</w:t>
      </w:r>
      <w:r>
        <w:t>3</w:t>
      </w:r>
      <w:r w:rsidRPr="00103E9E">
        <w:t xml:space="preserve"> год не выявлено.</w:t>
      </w:r>
    </w:p>
    <w:p w14:paraId="5155866D" w14:textId="77777777" w:rsidR="00DA53B1" w:rsidRPr="00103E9E" w:rsidRDefault="00DA53B1" w:rsidP="00DA53B1">
      <w:pPr>
        <w:autoSpaceDE w:val="0"/>
        <w:autoSpaceDN w:val="0"/>
        <w:adjustRightInd w:val="0"/>
        <w:ind w:firstLine="709"/>
        <w:jc w:val="both"/>
      </w:pPr>
      <w:r w:rsidRPr="00103E9E">
        <w:t xml:space="preserve">Заполнение Баланса </w:t>
      </w:r>
      <w:hyperlink r:id="rId19" w:history="1">
        <w:r w:rsidRPr="00103E9E">
          <w:t>(ф. 0503130)</w:t>
        </w:r>
      </w:hyperlink>
      <w:r w:rsidRPr="00103E9E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5912D412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 w:rsidRPr="00103E9E">
        <w:tab/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425E9386" w14:textId="77777777" w:rsidR="00DA53B1" w:rsidRPr="00103E9E" w:rsidRDefault="00DA53B1" w:rsidP="00DA53B1">
      <w:pPr>
        <w:tabs>
          <w:tab w:val="left" w:pos="709"/>
          <w:tab w:val="left" w:pos="851"/>
        </w:tabs>
        <w:contextualSpacing/>
        <w:jc w:val="both"/>
      </w:pPr>
      <w:r w:rsidRPr="00103E9E">
        <w:rPr>
          <w:b/>
        </w:rPr>
        <w:tab/>
        <w:t xml:space="preserve">Пояснительная записка (ф.0503160). </w:t>
      </w:r>
      <w:r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414E657B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7797E570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1949FE03" w14:textId="77777777" w:rsidR="00DA53B1" w:rsidRPr="00103E9E" w:rsidRDefault="00DA53B1" w:rsidP="00DA53B1">
      <w:pPr>
        <w:contextualSpacing/>
        <w:jc w:val="both"/>
      </w:pPr>
      <w:r w:rsidRPr="00103E9E">
        <w:lastRenderedPageBreak/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46A28A89" w14:textId="77777777" w:rsidR="00DA53B1" w:rsidRDefault="00DA53B1" w:rsidP="00DA53B1">
      <w:pPr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64A9949E" w14:textId="77777777" w:rsidR="00DA53B1" w:rsidRDefault="00DA53B1" w:rsidP="00DA53B1">
      <w:pPr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58B74BFC" w14:textId="77777777" w:rsidR="00DA53B1" w:rsidRDefault="00DA53B1" w:rsidP="00DA53B1">
      <w:pPr>
        <w:tabs>
          <w:tab w:val="left" w:pos="709"/>
        </w:tabs>
        <w:contextualSpacing/>
        <w:jc w:val="both"/>
      </w:pPr>
      <w:r w:rsidRPr="00103E9E">
        <w:tab/>
        <w:t>В пояснительной записке представлена информация о штатной численности, информации по основным средствам описана в разделе 4 «анализ показателей бухгалтерской отчетности субъекта бюджетной отчетности». Информация об проведенной инвентаризации описана в разделе 5 «Прочие вопросы деятельности субъекта бюджетной отчетности».</w:t>
      </w:r>
    </w:p>
    <w:p w14:paraId="0AEAF38B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</w:t>
      </w:r>
      <w:proofErr w:type="gramStart"/>
      <w:r w:rsidRPr="00CC6435">
        <w:t>заполнения</w:t>
      </w:r>
      <w:proofErr w:type="gramEnd"/>
      <w:r w:rsidRPr="00CC6435">
        <w:t xml:space="preserve"> определенным п. 159.5. Инструкции № 191н.</w:t>
      </w:r>
    </w:p>
    <w:p w14:paraId="728DCBAC" w14:textId="77777777" w:rsidR="00DA53B1" w:rsidRPr="00103E9E" w:rsidRDefault="00DA53B1" w:rsidP="00DA53B1">
      <w:pPr>
        <w:tabs>
          <w:tab w:val="left" w:pos="851"/>
          <w:tab w:val="left" w:pos="993"/>
        </w:tabs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44CB7DD2" w14:textId="77777777" w:rsidR="00DA53B1" w:rsidRPr="00103E9E" w:rsidRDefault="00DA53B1" w:rsidP="00DA53B1">
      <w:pPr>
        <w:tabs>
          <w:tab w:val="left" w:pos="851"/>
        </w:tabs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4DA6B057" w14:textId="77777777" w:rsidR="00DA53B1" w:rsidRPr="00103E9E" w:rsidRDefault="00DA53B1" w:rsidP="00DA53B1">
      <w:pPr>
        <w:tabs>
          <w:tab w:val="left" w:pos="851"/>
        </w:tabs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0EC7C549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>Сведения об исполнении бюджета (ф. 0503164).</w:t>
      </w:r>
      <w:r w:rsidRPr="00103E9E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20E84688" w14:textId="70B69565" w:rsidR="00DA53B1" w:rsidRPr="00103E9E" w:rsidRDefault="00DA53B1" w:rsidP="00DA53B1">
      <w:pPr>
        <w:ind w:firstLine="709"/>
        <w:contextualSpacing/>
        <w:jc w:val="both"/>
      </w:pPr>
      <w:r w:rsidRPr="00103E9E">
        <w:t xml:space="preserve">В разделе расходы утверждены бюджетные назначения в сумме </w:t>
      </w:r>
      <w:r w:rsidR="003F642C">
        <w:t>1 197 800,00</w:t>
      </w:r>
      <w:r w:rsidRPr="00103E9E">
        <w:t xml:space="preserve"> руб., доведенные и исполненные бюджетные данные равны сумме </w:t>
      </w:r>
      <w:r w:rsidR="003F642C">
        <w:t>1 132 359,65</w:t>
      </w:r>
      <w:r w:rsidRPr="00103E9E">
        <w:t xml:space="preserve"> руб., процент исполнения составил 9</w:t>
      </w:r>
      <w:r w:rsidR="003F642C">
        <w:t>4</w:t>
      </w:r>
      <w:r w:rsidRPr="00103E9E">
        <w:t>,</w:t>
      </w:r>
      <w:r w:rsidR="003F642C">
        <w:t>54</w:t>
      </w:r>
      <w:r w:rsidRPr="00103E9E">
        <w:t>%.</w:t>
      </w:r>
    </w:p>
    <w:p w14:paraId="09E68E0D" w14:textId="77777777" w:rsidR="00DA53B1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Представленные Сведения соответствуют п.163 Инструкции № 191н.</w:t>
      </w:r>
    </w:p>
    <w:p w14:paraId="6CE43680" w14:textId="77777777" w:rsidR="00DA53B1" w:rsidRPr="006E3DC9" w:rsidRDefault="00000000" w:rsidP="00DA53B1">
      <w:pPr>
        <w:tabs>
          <w:tab w:val="left" w:pos="709"/>
        </w:tabs>
        <w:ind w:firstLine="709"/>
        <w:contextualSpacing/>
        <w:jc w:val="both"/>
      </w:pPr>
      <w:hyperlink r:id="rId21" w:anchor="block_50316013" w:history="1">
        <w:r w:rsidR="00DA53B1" w:rsidRPr="006E3DC9">
          <w:rPr>
            <w:rStyle w:val="a6"/>
            <w:color w:val="auto"/>
            <w:u w:val="none"/>
          </w:rPr>
          <w:t>Таблица № 13</w:t>
        </w:r>
      </w:hyperlink>
      <w:r w:rsidR="00DA53B1" w:rsidRPr="006E3DC9">
        <w:t xml:space="preserve"> «Анализ отчета об исполнении бюджета субъектом бюджетной отчетности» заполнена в соответствии с порядком </w:t>
      </w:r>
      <w:proofErr w:type="gramStart"/>
      <w:r w:rsidR="00DA53B1" w:rsidRPr="006E3DC9">
        <w:t>заполнения</w:t>
      </w:r>
      <w:proofErr w:type="gramEnd"/>
      <w:r w:rsidR="00DA53B1" w:rsidRPr="006E3DC9">
        <w:t xml:space="preserve"> определенным п. 159.6. Инструкции № 191н. </w:t>
      </w:r>
    </w:p>
    <w:p w14:paraId="0A0BCC08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4 "Анализ показателей бухгалтерской отчетности субъекта бюджетной отчетности", включающий: </w:t>
      </w:r>
    </w:p>
    <w:p w14:paraId="019F0861" w14:textId="09DF9FA5" w:rsidR="00DA53B1" w:rsidRPr="00103E9E" w:rsidRDefault="00DA53B1" w:rsidP="00DA53B1">
      <w:pPr>
        <w:tabs>
          <w:tab w:val="left" w:pos="360"/>
          <w:tab w:val="num" w:pos="709"/>
        </w:tabs>
        <w:contextualSpacing/>
        <w:jc w:val="both"/>
      </w:pPr>
      <w:r w:rsidRPr="00103E9E">
        <w:tab/>
        <w:t xml:space="preserve">- </w:t>
      </w:r>
      <w:r w:rsidRPr="00103E9E">
        <w:rPr>
          <w:b/>
        </w:rPr>
        <w:t>Сведения о движении нефинансовых активов (ф. 0503168)</w:t>
      </w:r>
      <w:r w:rsidRPr="00103E9E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BA5A03">
        <w:t>4 099,00</w:t>
      </w:r>
      <w:r w:rsidRPr="00103E9E">
        <w:t xml:space="preserve"> рублей. Поступление материальных запасов по счету 010500000 составляет </w:t>
      </w:r>
      <w:r w:rsidR="00BA5A03">
        <w:t>8 055,50</w:t>
      </w:r>
      <w:r w:rsidRPr="00103E9E">
        <w:t xml:space="preserve"> рублей. Выбытие основных средств составляет </w:t>
      </w:r>
      <w:r w:rsidR="00BA5A03">
        <w:t>4 099,00</w:t>
      </w:r>
      <w:r w:rsidRPr="00103E9E">
        <w:t xml:space="preserve"> рублей. Выбытие материальных запасов составляет </w:t>
      </w:r>
      <w:r w:rsidR="00BA5A03">
        <w:t>8 341,0</w:t>
      </w:r>
      <w:r w:rsidRPr="00103E9E">
        <w:t xml:space="preserve"> рублей.</w:t>
      </w:r>
    </w:p>
    <w:p w14:paraId="4D1130ED" w14:textId="77777777" w:rsidR="00DA53B1" w:rsidRPr="00103E9E" w:rsidRDefault="00DA53B1" w:rsidP="00DA53B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 xml:space="preserve">Сведения по дебиторской и кредиторской задолженности </w:t>
      </w:r>
      <w:hyperlink r:id="rId22" w:history="1">
        <w:r w:rsidRPr="00103E9E">
          <w:rPr>
            <w:b/>
          </w:rPr>
          <w:t>(ф. 0503169)</w:t>
        </w:r>
      </w:hyperlink>
      <w:r w:rsidRPr="00103E9E">
        <w:t xml:space="preserve"> сформированы и представлены в соответствии с п. 167 Инструкции № 191н.</w:t>
      </w:r>
    </w:p>
    <w:p w14:paraId="278EDD13" w14:textId="76F61FF6" w:rsidR="00DA53B1" w:rsidRPr="00304052" w:rsidRDefault="00DA53B1" w:rsidP="00DA53B1">
      <w:pPr>
        <w:ind w:right="-1" w:firstLine="709"/>
        <w:contextualSpacing/>
        <w:jc w:val="both"/>
      </w:pPr>
      <w:r w:rsidRPr="00103E9E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1E0582">
        <w:t>21 324,32</w:t>
      </w:r>
      <w:r w:rsidRPr="00103E9E">
        <w:t xml:space="preserve"> руб.</w:t>
      </w:r>
      <w:r>
        <w:t xml:space="preserve">, дебиторская задолженность по </w:t>
      </w:r>
      <w:r w:rsidRPr="00304052">
        <w:t>Счет 1 303</w:t>
      </w:r>
      <w:r>
        <w:t>14</w:t>
      </w:r>
      <w:r w:rsidRPr="00304052">
        <w:t xml:space="preserve">000 «Расчеты по </w:t>
      </w:r>
      <w:r>
        <w:t xml:space="preserve">единому налоговому </w:t>
      </w:r>
      <w:r w:rsidRPr="00304052">
        <w:t>платеж</w:t>
      </w:r>
      <w:r>
        <w:t>у</w:t>
      </w:r>
      <w:r w:rsidRPr="00304052">
        <w:t>».</w:t>
      </w:r>
    </w:p>
    <w:p w14:paraId="2EC3F333" w14:textId="5A138892" w:rsidR="00DA53B1" w:rsidRPr="00304052" w:rsidRDefault="00DA53B1" w:rsidP="00DA53B1">
      <w:pPr>
        <w:ind w:right="-1" w:firstLine="709"/>
        <w:contextualSpacing/>
        <w:jc w:val="both"/>
      </w:pPr>
      <w:r w:rsidRPr="00103E9E">
        <w:lastRenderedPageBreak/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1E0582">
        <w:t>21</w:t>
      </w:r>
      <w:r w:rsidR="00147C9F">
        <w:t> 810,91</w:t>
      </w:r>
      <w:r w:rsidRPr="00103E9E">
        <w:t xml:space="preserve"> руб.</w:t>
      </w:r>
      <w:r>
        <w:t xml:space="preserve">, кредиторская задолженность по </w:t>
      </w:r>
      <w:r w:rsidRPr="00304052">
        <w:t>Счет 1 303</w:t>
      </w:r>
      <w:r>
        <w:t>15</w:t>
      </w:r>
      <w:r w:rsidRPr="00304052">
        <w:t xml:space="preserve">000 «Расчеты по </w:t>
      </w:r>
      <w:r>
        <w:t>единому страховому тарифу</w:t>
      </w:r>
      <w:r w:rsidRPr="00304052">
        <w:t>»</w:t>
      </w:r>
      <w:r w:rsidR="00147C9F">
        <w:t xml:space="preserve"> в сумме 21 324,32 и по Счету 1 30221000 «</w:t>
      </w:r>
      <w:r w:rsidR="00BA6F86">
        <w:t>Расчеты по услугам связи» в сумме 486,59 рублей, за декабрь 2023 года</w:t>
      </w:r>
      <w:r w:rsidRPr="00304052">
        <w:t>.</w:t>
      </w:r>
    </w:p>
    <w:p w14:paraId="2E55C871" w14:textId="77777777" w:rsidR="00DA53B1" w:rsidRDefault="00DA53B1" w:rsidP="00DA53B1">
      <w:pPr>
        <w:ind w:firstLine="708"/>
        <w:contextualSpacing/>
        <w:jc w:val="both"/>
      </w:pPr>
      <w:r w:rsidRPr="00103E9E">
        <w:t>Просроченной кредиторской задолженности нет.</w:t>
      </w:r>
    </w:p>
    <w:p w14:paraId="2BF75385" w14:textId="77777777" w:rsidR="00DA53B1" w:rsidRPr="009B2739" w:rsidRDefault="00DA53B1" w:rsidP="00DA53B1">
      <w:pPr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4A4BDF32" w14:textId="77777777" w:rsidR="00DA53B1" w:rsidRPr="00103E9E" w:rsidRDefault="00DA53B1" w:rsidP="00DA53B1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3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5BBE5EC0" w14:textId="77777777" w:rsidR="00DA53B1" w:rsidRDefault="00DA53B1" w:rsidP="00DA53B1">
      <w:pPr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>
        <w:rPr>
          <w:b/>
        </w:rPr>
        <w:t>;</w:t>
      </w:r>
    </w:p>
    <w:p w14:paraId="3145C092" w14:textId="77777777" w:rsidR="00DA53B1" w:rsidRDefault="00DA53B1" w:rsidP="00DA53B1">
      <w:pPr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BF96C31" w14:textId="77777777" w:rsidR="00DA53B1" w:rsidRPr="00677916" w:rsidRDefault="00DA53B1" w:rsidP="00DA53B1">
      <w:pPr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0AB874C3" w14:textId="77777777" w:rsidR="00DA53B1" w:rsidRDefault="00DA53B1" w:rsidP="00DA53B1">
      <w:pPr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0503178);</w:t>
      </w:r>
    </w:p>
    <w:p w14:paraId="616411F6" w14:textId="77777777" w:rsidR="00DA53B1" w:rsidRPr="00C524B3" w:rsidRDefault="00DA53B1" w:rsidP="00DA53B1">
      <w:pPr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57120240" w14:textId="77777777" w:rsidR="00DA53B1" w:rsidRPr="00103E9E" w:rsidRDefault="00DA53B1" w:rsidP="00DA53B1">
      <w:pPr>
        <w:tabs>
          <w:tab w:val="left" w:pos="709"/>
        </w:tabs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68ED4310" w14:textId="77777777" w:rsidR="00DA53B1" w:rsidRDefault="00DA53B1" w:rsidP="00DA53B1">
      <w:pPr>
        <w:ind w:firstLine="708"/>
        <w:contextualSpacing/>
        <w:jc w:val="both"/>
      </w:pPr>
      <w:r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7132B9A4" w14:textId="77777777" w:rsidR="00DA53B1" w:rsidRDefault="00DA53B1" w:rsidP="00DA53B1">
      <w:pPr>
        <w:ind w:firstLine="708"/>
        <w:contextualSpacing/>
        <w:jc w:val="both"/>
      </w:pPr>
      <w:r>
        <w:t xml:space="preserve">Таблица N 15 "Причины увеличения просроченной задолженности", отсутствует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4208B9F2" w14:textId="77777777" w:rsidR="00DA53B1" w:rsidRPr="00103E9E" w:rsidRDefault="00DA53B1" w:rsidP="00DA53B1">
      <w:pPr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63D24C02" w14:textId="77777777" w:rsidR="00DA53B1" w:rsidRPr="00103E9E" w:rsidRDefault="00DA53B1" w:rsidP="00DA53B1">
      <w:pPr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15BAD36D" w14:textId="77777777" w:rsidR="00DA53B1" w:rsidRPr="00103E9E" w:rsidRDefault="00000000" w:rsidP="00DA53B1">
      <w:pPr>
        <w:ind w:firstLine="708"/>
        <w:contextualSpacing/>
        <w:jc w:val="both"/>
      </w:pPr>
      <w:hyperlink r:id="rId24" w:anchor="block_503160884" w:history="1">
        <w:r w:rsidR="00DA53B1" w:rsidRPr="00856AB9">
          <w:rPr>
            <w:rStyle w:val="a6"/>
            <w:color w:val="auto"/>
            <w:u w:val="none"/>
          </w:rPr>
          <w:t>Таблица N 4</w:t>
        </w:r>
      </w:hyperlink>
      <w:r w:rsidR="00DA53B1" w:rsidRPr="00856AB9">
        <w:t xml:space="preserve"> </w:t>
      </w:r>
      <w:r w:rsidR="00DA53B1">
        <w:t>«</w:t>
      </w:r>
      <w:r w:rsidR="00DA53B1" w:rsidRPr="00103E9E">
        <w:t>Сведения об основных положениях учетной политики</w:t>
      </w:r>
      <w:r w:rsidR="00DA53B1"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="00DA53B1" w:rsidRPr="00103E9E">
        <w:t>;</w:t>
      </w:r>
    </w:p>
    <w:p w14:paraId="3B4DC940" w14:textId="77777777" w:rsidR="00DA53B1" w:rsidRDefault="00000000" w:rsidP="00DA53B1">
      <w:pPr>
        <w:ind w:firstLine="708"/>
        <w:contextualSpacing/>
        <w:jc w:val="both"/>
      </w:pPr>
      <w:hyperlink r:id="rId25" w:anchor="block_503160886" w:history="1">
        <w:r w:rsidR="00DA53B1" w:rsidRPr="004C388C">
          <w:rPr>
            <w:rStyle w:val="a6"/>
            <w:color w:val="auto"/>
            <w:u w:val="none"/>
          </w:rPr>
          <w:t>Таблица N 6</w:t>
        </w:r>
      </w:hyperlink>
      <w:r w:rsidR="00DA53B1" w:rsidRPr="00103E9E">
        <w:t xml:space="preserve"> </w:t>
      </w:r>
      <w:r w:rsidR="00DA53B1">
        <w:t>«</w:t>
      </w:r>
      <w:r w:rsidR="00DA53B1" w:rsidRPr="00103E9E">
        <w:t>Сведения о проведении инвентаризаций</w:t>
      </w:r>
      <w:r w:rsidR="00DA53B1"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="00DA53B1" w:rsidRPr="00103E9E">
        <w:t>;</w:t>
      </w:r>
    </w:p>
    <w:p w14:paraId="322E6F1F" w14:textId="77777777" w:rsidR="00DA53B1" w:rsidRPr="00103E9E" w:rsidRDefault="00DA53B1" w:rsidP="00DA53B1">
      <w:pPr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6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3A69CE0E" w14:textId="77777777" w:rsidR="00DA53B1" w:rsidRDefault="00DA53B1" w:rsidP="00DA53B1">
      <w:pPr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0812C81B" w14:textId="77777777" w:rsidR="00DA53B1" w:rsidRPr="00103E9E" w:rsidRDefault="00DA53B1" w:rsidP="00DA53B1">
      <w:pPr>
        <w:ind w:firstLine="708"/>
        <w:contextualSpacing/>
        <w:jc w:val="both"/>
      </w:pPr>
      <w: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53935F31" w14:textId="77777777" w:rsidR="00DA53B1" w:rsidRPr="00103E9E" w:rsidRDefault="00DA53B1" w:rsidP="00DA53B1">
      <w:pPr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lastRenderedPageBreak/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57B7BB28" w14:textId="0CA5CC38" w:rsidR="00DA53B1" w:rsidRPr="00103E9E" w:rsidRDefault="00DA53B1" w:rsidP="00DA53B1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tab/>
        <w:t>К</w:t>
      </w:r>
      <w:r w:rsidR="00C452F9">
        <w:t>онтрольно-счетная палата</w:t>
      </w:r>
      <w:r w:rsidRPr="00103E9E">
        <w:t xml:space="preserve"> Егорьевского района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3E93DE00" w14:textId="77777777" w:rsidR="00DA53B1" w:rsidRPr="00103E9E" w:rsidRDefault="00DA53B1" w:rsidP="00DA53B1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>Бюджетной росписи в ведомственной структуре расходов на 31.12.202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714B07E5" w14:textId="77777777" w:rsidR="000A3FD2" w:rsidRPr="00497A64" w:rsidRDefault="000A3FD2" w:rsidP="000A3FD2">
      <w:pPr>
        <w:contextualSpacing/>
        <w:jc w:val="both"/>
      </w:pPr>
      <w:r w:rsidRPr="00497A64">
        <w:rPr>
          <w:color w:val="000000" w:themeColor="text1"/>
        </w:rPr>
        <w:t xml:space="preserve"> </w:t>
      </w:r>
    </w:p>
    <w:p w14:paraId="5F4FA77E" w14:textId="77777777" w:rsidR="008C1399" w:rsidRDefault="000A3FD2" w:rsidP="008C1399">
      <w:pPr>
        <w:contextualSpacing/>
        <w:jc w:val="center"/>
        <w:rPr>
          <w:b/>
        </w:rPr>
      </w:pPr>
      <w:r w:rsidRPr="00497A64">
        <w:rPr>
          <w:b/>
        </w:rPr>
        <w:t>2.1 Оценка имущественного положения</w:t>
      </w:r>
      <w:r w:rsidRPr="00497A64">
        <w:rPr>
          <w:b/>
        </w:rPr>
        <w:cr/>
      </w:r>
    </w:p>
    <w:p w14:paraId="271A2E84" w14:textId="78F16229" w:rsidR="001838C2" w:rsidRPr="00497A64" w:rsidRDefault="000A3FD2" w:rsidP="008C1399">
      <w:pPr>
        <w:ind w:firstLine="708"/>
        <w:contextualSpacing/>
        <w:jc w:val="both"/>
      </w:pPr>
      <w:r w:rsidRPr="00497A64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4A755398" w14:textId="48527F5C" w:rsidR="000A3FD2" w:rsidRPr="00497A64" w:rsidRDefault="000A3FD2" w:rsidP="008C1399">
      <w:pPr>
        <w:ind w:firstLine="708"/>
        <w:contextualSpacing/>
        <w:jc w:val="both"/>
      </w:pPr>
      <w:r w:rsidRPr="00497A64">
        <w:t xml:space="preserve">Согласно показателям, отраженным в данной форме, следует, что балансовая стоимость основных средств за отчётный период </w:t>
      </w:r>
      <w:r w:rsidR="00B800FE">
        <w:t>составляет</w:t>
      </w:r>
      <w:r w:rsidRPr="00497A64">
        <w:t xml:space="preserve"> </w:t>
      </w:r>
      <w:r w:rsidR="001838C2" w:rsidRPr="00497A64">
        <w:t xml:space="preserve">67 093,00 </w:t>
      </w:r>
      <w:r w:rsidRPr="00497A64">
        <w:t>рубл</w:t>
      </w:r>
      <w:r w:rsidR="001838C2" w:rsidRPr="00497A64">
        <w:t>ей</w:t>
      </w:r>
      <w:r w:rsidRPr="00497A64">
        <w:t>, в том числе за счет:</w:t>
      </w:r>
      <w:r w:rsidRPr="00497A64">
        <w:cr/>
        <w:t xml:space="preserve">- машины и оборудование – </w:t>
      </w:r>
      <w:r w:rsidR="00E1233E" w:rsidRPr="00497A64">
        <w:t>6</w:t>
      </w:r>
      <w:r w:rsidR="00B800FE">
        <w:t>7</w:t>
      </w:r>
      <w:r w:rsidR="00E1233E" w:rsidRPr="00497A64">
        <w:t xml:space="preserve"> </w:t>
      </w:r>
      <w:r w:rsidR="00B800FE">
        <w:t>0</w:t>
      </w:r>
      <w:r w:rsidR="00E1233E" w:rsidRPr="00497A64">
        <w:t>9</w:t>
      </w:r>
      <w:r w:rsidR="00B800FE">
        <w:t>3</w:t>
      </w:r>
      <w:r w:rsidRPr="00497A64">
        <w:t>,00 рублей;</w:t>
      </w:r>
    </w:p>
    <w:p w14:paraId="23022585" w14:textId="7AA7150A" w:rsidR="00750CBA" w:rsidRPr="00497A64" w:rsidRDefault="0074154E" w:rsidP="008C1399">
      <w:pPr>
        <w:tabs>
          <w:tab w:val="left" w:pos="709"/>
        </w:tabs>
        <w:contextualSpacing/>
        <w:jc w:val="both"/>
        <w:rPr>
          <w:b/>
        </w:rPr>
      </w:pPr>
      <w:r>
        <w:t>Было поступление и выбытие</w:t>
      </w:r>
      <w:r w:rsidR="000B0804">
        <w:t>: машины и оборудование на сумму 4 099,00 рублей.</w:t>
      </w:r>
      <w:r w:rsidR="00E1233E" w:rsidRPr="00497A64">
        <w:cr/>
      </w:r>
      <w:r w:rsidR="00750CBA" w:rsidRPr="00497A64">
        <w:tab/>
      </w:r>
      <w:r w:rsidR="000A3FD2" w:rsidRPr="00497A64">
        <w:t xml:space="preserve">По виду нефинансового актива: основные средства, амортизация основных средств, материальные запасы соответствуют </w:t>
      </w:r>
      <w:proofErr w:type="gramStart"/>
      <w:r w:rsidR="000A3FD2" w:rsidRPr="00497A64">
        <w:t>остаткам  формы</w:t>
      </w:r>
      <w:proofErr w:type="gramEnd"/>
      <w:r w:rsidR="000A3FD2" w:rsidRPr="00497A64">
        <w:t xml:space="preserve"> 0503130 «Баланс  главного распорядителя, распорядителя, получателя бюджетных средств, главного администратора, администратора  источников  финансирования дефицита бюджета, главного администратора, администратора доходов бюджета». </w:t>
      </w:r>
      <w:r w:rsidR="000A3FD2" w:rsidRPr="00497A64">
        <w:cr/>
      </w:r>
    </w:p>
    <w:p w14:paraId="1EBBCF38" w14:textId="77777777" w:rsidR="008C1399" w:rsidRDefault="000A3FD2" w:rsidP="008C1399">
      <w:pPr>
        <w:contextualSpacing/>
        <w:jc w:val="center"/>
        <w:rPr>
          <w:b/>
        </w:rPr>
      </w:pPr>
      <w:r w:rsidRPr="00497A64">
        <w:rPr>
          <w:b/>
        </w:rPr>
        <w:t>Выводы</w:t>
      </w:r>
    </w:p>
    <w:p w14:paraId="57A14E27" w14:textId="6B89C0F1" w:rsidR="00461D04" w:rsidRPr="00497A64" w:rsidRDefault="000A3FD2" w:rsidP="008C1399">
      <w:pPr>
        <w:contextualSpacing/>
        <w:jc w:val="center"/>
      </w:pPr>
      <w:r w:rsidRPr="00497A64">
        <w:rPr>
          <w:b/>
        </w:rPr>
        <w:cr/>
      </w:r>
      <w:r w:rsidR="00750CBA" w:rsidRPr="00497A64">
        <w:tab/>
      </w:r>
      <w:r w:rsidRPr="00497A64">
        <w:t xml:space="preserve">В ходе внешней проверки годовой бюджетной отчетности главного распорядителя бюджетных средств </w:t>
      </w:r>
      <w:r w:rsidR="00750CBA" w:rsidRPr="00497A64">
        <w:t>контрольно-счетная палата Егорьевского района Алтайского края</w:t>
      </w:r>
      <w:r w:rsidRPr="00497A64">
        <w:t xml:space="preserve"> за 202</w:t>
      </w:r>
      <w:r w:rsidR="000B0804">
        <w:t>3</w:t>
      </w:r>
      <w:r w:rsidRPr="00497A64">
        <w:t xml:space="preserve"> год, проведенной контрольно-счетной палатой </w:t>
      </w:r>
      <w:r w:rsidR="00750CBA" w:rsidRPr="00497A64">
        <w:t>Егорьевского</w:t>
      </w:r>
      <w:r w:rsidRPr="00497A64">
        <w:t xml:space="preserve"> района Алтайского края установлено:</w:t>
      </w:r>
      <w:r w:rsidRPr="00497A64">
        <w:cr/>
      </w:r>
      <w:r w:rsidR="00750CBA" w:rsidRPr="00497A64">
        <w:tab/>
        <w:t>-</w:t>
      </w:r>
      <w:r w:rsidRPr="00497A64">
        <w:t xml:space="preserve"> отчет представлен в контрольно-счетную палату </w:t>
      </w:r>
      <w:r w:rsidR="00750CBA" w:rsidRPr="00497A64">
        <w:t>Егорьевского</w:t>
      </w:r>
      <w:r w:rsidRPr="00497A64">
        <w:t xml:space="preserve"> района Алтайского края, для проведения внешней проверки в установленный срок;</w:t>
      </w:r>
      <w:r w:rsidRPr="00497A64">
        <w:cr/>
      </w:r>
      <w:r w:rsidR="00750CBA" w:rsidRPr="00497A64">
        <w:tab/>
        <w:t>-</w:t>
      </w:r>
      <w:r w:rsidRPr="00497A64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497A64">
        <w:t>;</w:t>
      </w:r>
      <w:r w:rsidRPr="00497A64">
        <w:t xml:space="preserve"> </w:t>
      </w:r>
    </w:p>
    <w:p w14:paraId="2D5A65E5" w14:textId="77777777" w:rsidR="00461D04" w:rsidRPr="00497A64" w:rsidRDefault="00461D04" w:rsidP="008C1399">
      <w:pPr>
        <w:tabs>
          <w:tab w:val="left" w:pos="851"/>
        </w:tabs>
        <w:contextualSpacing/>
        <w:jc w:val="both"/>
      </w:pPr>
      <w:r w:rsidRPr="00497A64">
        <w:tab/>
      </w:r>
      <w:r w:rsidR="000A3FD2" w:rsidRPr="00497A64">
        <w:t xml:space="preserve">- контрольные соотношения между показателями форм бюджетной отчетности соблюдены; </w:t>
      </w:r>
    </w:p>
    <w:p w14:paraId="5F42B925" w14:textId="31C8DE6C" w:rsidR="000A3FD2" w:rsidRPr="00497A64" w:rsidRDefault="00461D04" w:rsidP="008C1399">
      <w:pPr>
        <w:tabs>
          <w:tab w:val="left" w:pos="851"/>
        </w:tabs>
        <w:contextualSpacing/>
        <w:jc w:val="both"/>
      </w:pPr>
      <w:r w:rsidRPr="00497A64">
        <w:tab/>
      </w:r>
      <w:r w:rsidR="000A3FD2" w:rsidRPr="00497A64">
        <w:t>- существенных фактов, способных негативно повлиять на достоверность бюджетной отчетности, не выявлено.</w:t>
      </w:r>
      <w:r w:rsidR="000A3FD2" w:rsidRPr="00497A64">
        <w:cr/>
      </w:r>
    </w:p>
    <w:p w14:paraId="61D7D6DD" w14:textId="63CD727D" w:rsidR="0062178A" w:rsidRDefault="0062178A" w:rsidP="00B90300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4C7C59B9" w14:textId="76C2D4DC" w:rsidR="00B90300" w:rsidRPr="00497A64" w:rsidRDefault="00B90300" w:rsidP="00B90300">
      <w:pPr>
        <w:shd w:val="clear" w:color="auto" w:fill="FFFFFF"/>
        <w:tabs>
          <w:tab w:val="left" w:pos="709"/>
        </w:tabs>
        <w:ind w:right="38"/>
        <w:contextualSpacing/>
        <w:jc w:val="both"/>
      </w:pPr>
      <w:r>
        <w:t xml:space="preserve">Председатель контрольно-счетной палаты                      </w:t>
      </w:r>
      <w:r w:rsidR="00333696">
        <w:t xml:space="preserve">      </w:t>
      </w:r>
      <w:r>
        <w:t xml:space="preserve">                          Е.</w:t>
      </w:r>
      <w:r w:rsidR="00333696">
        <w:t xml:space="preserve"> </w:t>
      </w:r>
      <w:r>
        <w:t>В.</w:t>
      </w:r>
      <w:r w:rsidR="00333696">
        <w:t xml:space="preserve"> </w:t>
      </w:r>
      <w:r>
        <w:t>Мезенцева</w:t>
      </w:r>
    </w:p>
    <w:sectPr w:rsidR="00B90300" w:rsidRPr="0049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61076">
    <w:abstractNumId w:val="5"/>
  </w:num>
  <w:num w:numId="2" w16cid:durableId="6595064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1470935">
    <w:abstractNumId w:val="3"/>
  </w:num>
  <w:num w:numId="4" w16cid:durableId="1997227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326690">
    <w:abstractNumId w:val="0"/>
  </w:num>
  <w:num w:numId="6" w16cid:durableId="19758697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22132"/>
    <w:rsid w:val="00030DE2"/>
    <w:rsid w:val="0004244B"/>
    <w:rsid w:val="00043DE3"/>
    <w:rsid w:val="000461F6"/>
    <w:rsid w:val="000468B9"/>
    <w:rsid w:val="00087CBF"/>
    <w:rsid w:val="00094257"/>
    <w:rsid w:val="000A331F"/>
    <w:rsid w:val="000A3FD2"/>
    <w:rsid w:val="000B0804"/>
    <w:rsid w:val="000E79D4"/>
    <w:rsid w:val="000E7B1E"/>
    <w:rsid w:val="000F7182"/>
    <w:rsid w:val="00141B55"/>
    <w:rsid w:val="00147C9F"/>
    <w:rsid w:val="00162093"/>
    <w:rsid w:val="0016252D"/>
    <w:rsid w:val="001838C2"/>
    <w:rsid w:val="001D25E4"/>
    <w:rsid w:val="001D78B4"/>
    <w:rsid w:val="001E0582"/>
    <w:rsid w:val="001E2DAA"/>
    <w:rsid w:val="0021041E"/>
    <w:rsid w:val="00245E19"/>
    <w:rsid w:val="00262915"/>
    <w:rsid w:val="00275CF6"/>
    <w:rsid w:val="002842F4"/>
    <w:rsid w:val="002849F6"/>
    <w:rsid w:val="00286D2F"/>
    <w:rsid w:val="00291C8A"/>
    <w:rsid w:val="002D57DB"/>
    <w:rsid w:val="00330FC5"/>
    <w:rsid w:val="00331DD5"/>
    <w:rsid w:val="00333696"/>
    <w:rsid w:val="003648D2"/>
    <w:rsid w:val="00391716"/>
    <w:rsid w:val="003929C1"/>
    <w:rsid w:val="003A0911"/>
    <w:rsid w:val="003D2D24"/>
    <w:rsid w:val="003E7CF3"/>
    <w:rsid w:val="003F642C"/>
    <w:rsid w:val="00453E1E"/>
    <w:rsid w:val="00461D04"/>
    <w:rsid w:val="00477A20"/>
    <w:rsid w:val="00497A64"/>
    <w:rsid w:val="004E2681"/>
    <w:rsid w:val="004F4C7A"/>
    <w:rsid w:val="00510B75"/>
    <w:rsid w:val="00521B58"/>
    <w:rsid w:val="00526BA7"/>
    <w:rsid w:val="005604B7"/>
    <w:rsid w:val="00561836"/>
    <w:rsid w:val="00567245"/>
    <w:rsid w:val="0058290C"/>
    <w:rsid w:val="00591861"/>
    <w:rsid w:val="00595C75"/>
    <w:rsid w:val="005A2454"/>
    <w:rsid w:val="005D63B8"/>
    <w:rsid w:val="005E5841"/>
    <w:rsid w:val="006177FA"/>
    <w:rsid w:val="0062178A"/>
    <w:rsid w:val="0065616E"/>
    <w:rsid w:val="00664F26"/>
    <w:rsid w:val="0067423C"/>
    <w:rsid w:val="006D33BD"/>
    <w:rsid w:val="006D7CB9"/>
    <w:rsid w:val="006E78F7"/>
    <w:rsid w:val="006F4EE0"/>
    <w:rsid w:val="006F5889"/>
    <w:rsid w:val="00701912"/>
    <w:rsid w:val="00717733"/>
    <w:rsid w:val="00727085"/>
    <w:rsid w:val="0074154E"/>
    <w:rsid w:val="00750CBA"/>
    <w:rsid w:val="007611E3"/>
    <w:rsid w:val="0077095D"/>
    <w:rsid w:val="007722D3"/>
    <w:rsid w:val="00772FA3"/>
    <w:rsid w:val="0077311D"/>
    <w:rsid w:val="007A0AC6"/>
    <w:rsid w:val="007C2155"/>
    <w:rsid w:val="007D61BD"/>
    <w:rsid w:val="007F565E"/>
    <w:rsid w:val="0081562B"/>
    <w:rsid w:val="00853137"/>
    <w:rsid w:val="00854E25"/>
    <w:rsid w:val="008A61FB"/>
    <w:rsid w:val="008B5005"/>
    <w:rsid w:val="008C1399"/>
    <w:rsid w:val="008E1134"/>
    <w:rsid w:val="009124F3"/>
    <w:rsid w:val="009133CD"/>
    <w:rsid w:val="009408B6"/>
    <w:rsid w:val="0094293B"/>
    <w:rsid w:val="009511FB"/>
    <w:rsid w:val="00951C0A"/>
    <w:rsid w:val="00951EC4"/>
    <w:rsid w:val="009775FB"/>
    <w:rsid w:val="0098658E"/>
    <w:rsid w:val="009C79AC"/>
    <w:rsid w:val="009D3243"/>
    <w:rsid w:val="009F066C"/>
    <w:rsid w:val="009F0E72"/>
    <w:rsid w:val="00A060D5"/>
    <w:rsid w:val="00A15E96"/>
    <w:rsid w:val="00A26BAF"/>
    <w:rsid w:val="00A30926"/>
    <w:rsid w:val="00A314AD"/>
    <w:rsid w:val="00A5032A"/>
    <w:rsid w:val="00A55445"/>
    <w:rsid w:val="00A83EDD"/>
    <w:rsid w:val="00A872B8"/>
    <w:rsid w:val="00A90D18"/>
    <w:rsid w:val="00AB0645"/>
    <w:rsid w:val="00AC1179"/>
    <w:rsid w:val="00AC1E77"/>
    <w:rsid w:val="00AC393A"/>
    <w:rsid w:val="00AD08C9"/>
    <w:rsid w:val="00AE5E71"/>
    <w:rsid w:val="00AF27A9"/>
    <w:rsid w:val="00B0174F"/>
    <w:rsid w:val="00B05798"/>
    <w:rsid w:val="00B77B47"/>
    <w:rsid w:val="00B800FE"/>
    <w:rsid w:val="00B8060B"/>
    <w:rsid w:val="00B872BE"/>
    <w:rsid w:val="00B90300"/>
    <w:rsid w:val="00BA30B2"/>
    <w:rsid w:val="00BA4F95"/>
    <w:rsid w:val="00BA5A03"/>
    <w:rsid w:val="00BA6F86"/>
    <w:rsid w:val="00BC11BB"/>
    <w:rsid w:val="00BC5F5B"/>
    <w:rsid w:val="00BD66DC"/>
    <w:rsid w:val="00BE67FB"/>
    <w:rsid w:val="00C0349C"/>
    <w:rsid w:val="00C04841"/>
    <w:rsid w:val="00C452F9"/>
    <w:rsid w:val="00C523A3"/>
    <w:rsid w:val="00C76803"/>
    <w:rsid w:val="00CA3BCB"/>
    <w:rsid w:val="00D02856"/>
    <w:rsid w:val="00D04F84"/>
    <w:rsid w:val="00D23994"/>
    <w:rsid w:val="00D34674"/>
    <w:rsid w:val="00D52069"/>
    <w:rsid w:val="00D52A3F"/>
    <w:rsid w:val="00D5394D"/>
    <w:rsid w:val="00DA53B1"/>
    <w:rsid w:val="00DE0E89"/>
    <w:rsid w:val="00DE3EB7"/>
    <w:rsid w:val="00E02366"/>
    <w:rsid w:val="00E05600"/>
    <w:rsid w:val="00E1233E"/>
    <w:rsid w:val="00E4732E"/>
    <w:rsid w:val="00E753C8"/>
    <w:rsid w:val="00E84CAE"/>
    <w:rsid w:val="00E87BE1"/>
    <w:rsid w:val="00E9394B"/>
    <w:rsid w:val="00E97E68"/>
    <w:rsid w:val="00EB569C"/>
    <w:rsid w:val="00EC27F8"/>
    <w:rsid w:val="00F0499D"/>
    <w:rsid w:val="00F0576B"/>
    <w:rsid w:val="00F12DBB"/>
    <w:rsid w:val="00F66618"/>
    <w:rsid w:val="00F666A4"/>
    <w:rsid w:val="00FA1C61"/>
    <w:rsid w:val="00FB1042"/>
    <w:rsid w:val="00FB5AE6"/>
    <w:rsid w:val="00FB63A6"/>
    <w:rsid w:val="00FC2CF6"/>
    <w:rsid w:val="00FC5340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hyperlink" Target="https://base.garant.ru/12181732/b1c53f47d0bb3a791ad5868c560616f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ase.garant.ru/12181732/b1c53f47d0bb3a791ad5868c560616f5/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consultantplus://offline/ref=E065A4DAF8F7968E51966060EFAAAE486993D9F67808BE8379EB52D29047686E2244919024EAB9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D52DD5BA648662BAFB4142FA839E4D658C9BA737B5466C589AA591DD799565FE9D8F7D8E742E96CFQDPB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10</Pages>
  <Words>5157</Words>
  <Characters>29399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52</cp:revision>
  <cp:lastPrinted>2023-03-14T04:42:00Z</cp:lastPrinted>
  <dcterms:created xsi:type="dcterms:W3CDTF">2021-03-16T09:27:00Z</dcterms:created>
  <dcterms:modified xsi:type="dcterms:W3CDTF">2024-03-13T05:36:00Z</dcterms:modified>
</cp:coreProperties>
</file>